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4CF" w:rsidRPr="00F71D34" w:rsidRDefault="00F71D34" w:rsidP="00F71D34">
      <w:pPr>
        <w:jc w:val="center"/>
        <w:rPr>
          <w:b/>
        </w:rPr>
      </w:pPr>
      <w:r>
        <w:rPr>
          <w:b/>
        </w:rPr>
        <w:t>RESPUESTA 0100154816</w:t>
      </w:r>
    </w:p>
    <w:p w:rsidR="00F71D34" w:rsidRDefault="00F71D34"/>
    <w:p w:rsidR="00F71D34" w:rsidRPr="005A1184" w:rsidRDefault="00F71D34" w:rsidP="00F71D34">
      <w:pPr>
        <w:jc w:val="both"/>
        <w:rPr>
          <w:rFonts w:ascii="Palatino Linotype" w:hAnsi="Palatino Linotype"/>
          <w:b/>
          <w:sz w:val="22"/>
          <w:szCs w:val="22"/>
        </w:rPr>
      </w:pPr>
      <w:r>
        <w:rPr>
          <w:rFonts w:ascii="Palatino Linotype" w:hAnsi="Palatino Linotype"/>
          <w:b/>
          <w:sz w:val="22"/>
          <w:szCs w:val="22"/>
        </w:rPr>
        <w:t>Del último proceso electoral.</w:t>
      </w:r>
    </w:p>
    <w:p w:rsidR="00F71D34" w:rsidRPr="005A1184" w:rsidRDefault="00F71D34" w:rsidP="00F71D34">
      <w:pPr>
        <w:jc w:val="both"/>
        <w:rPr>
          <w:rFonts w:ascii="Palatino Linotype" w:hAnsi="Palatino Linotype"/>
          <w:sz w:val="22"/>
          <w:szCs w:val="22"/>
        </w:rPr>
      </w:pPr>
    </w:p>
    <w:p w:rsidR="00F71D34" w:rsidRPr="005A1184" w:rsidRDefault="00F71D34" w:rsidP="00F71D34">
      <w:pPr>
        <w:pStyle w:val="Prrafodelista"/>
        <w:numPr>
          <w:ilvl w:val="0"/>
          <w:numId w:val="1"/>
        </w:numPr>
        <w:spacing w:after="200" w:line="276" w:lineRule="auto"/>
        <w:jc w:val="both"/>
        <w:rPr>
          <w:rFonts w:ascii="Palatino Linotype" w:hAnsi="Palatino Linotype"/>
          <w:b/>
          <w:sz w:val="22"/>
          <w:szCs w:val="22"/>
        </w:rPr>
      </w:pPr>
      <w:r w:rsidRPr="005A1184">
        <w:rPr>
          <w:rFonts w:ascii="Palatino Linotype" w:hAnsi="Palatino Linotype"/>
          <w:b/>
          <w:sz w:val="22"/>
          <w:szCs w:val="22"/>
        </w:rPr>
        <w:t xml:space="preserve"> </w:t>
      </w:r>
      <w:r>
        <w:rPr>
          <w:rFonts w:ascii="Palatino Linotype" w:hAnsi="Palatino Linotype"/>
          <w:b/>
          <w:sz w:val="22"/>
          <w:szCs w:val="22"/>
        </w:rPr>
        <w:t>¿</w:t>
      </w:r>
      <w:r w:rsidRPr="005A1184">
        <w:rPr>
          <w:rFonts w:ascii="Palatino Linotype" w:hAnsi="Palatino Linotype"/>
          <w:b/>
          <w:sz w:val="22"/>
          <w:szCs w:val="22"/>
        </w:rPr>
        <w:t>Quién realizó el programa de resultados electorales y cuá</w:t>
      </w:r>
      <w:r>
        <w:rPr>
          <w:rFonts w:ascii="Palatino Linotype" w:hAnsi="Palatino Linotype"/>
          <w:b/>
          <w:sz w:val="22"/>
          <w:szCs w:val="22"/>
        </w:rPr>
        <w:t>l fue el monto de este servicio?</w:t>
      </w:r>
    </w:p>
    <w:p w:rsidR="00F71D34" w:rsidRPr="005A1184" w:rsidRDefault="00F71D34" w:rsidP="00F71D34">
      <w:pPr>
        <w:pStyle w:val="Prrafodelista"/>
        <w:ind w:left="0"/>
        <w:jc w:val="both"/>
        <w:rPr>
          <w:rFonts w:ascii="Palatino Linotype" w:hAnsi="Palatino Linotype"/>
          <w:sz w:val="22"/>
          <w:szCs w:val="22"/>
        </w:rPr>
      </w:pPr>
      <w:r w:rsidRPr="005A1184">
        <w:rPr>
          <w:rFonts w:ascii="Palatino Linotype" w:hAnsi="Palatino Linotype"/>
          <w:b/>
          <w:sz w:val="22"/>
          <w:szCs w:val="22"/>
        </w:rPr>
        <w:t>R=</w:t>
      </w:r>
      <w:r w:rsidRPr="005A1184">
        <w:rPr>
          <w:rFonts w:ascii="Palatino Linotype" w:hAnsi="Palatino Linotype"/>
          <w:sz w:val="22"/>
          <w:szCs w:val="22"/>
        </w:rPr>
        <w:t xml:space="preserve"> De acuerdo con </w:t>
      </w:r>
      <w:r>
        <w:rPr>
          <w:rFonts w:ascii="Palatino Linotype" w:hAnsi="Palatino Linotype"/>
          <w:sz w:val="22"/>
          <w:szCs w:val="22"/>
        </w:rPr>
        <w:t>los datos proporcionados en el oficio</w:t>
      </w:r>
      <w:r w:rsidRPr="005A1184">
        <w:rPr>
          <w:rFonts w:ascii="Palatino Linotype" w:hAnsi="Palatino Linotype"/>
          <w:sz w:val="22"/>
          <w:szCs w:val="22"/>
        </w:rPr>
        <w:t xml:space="preserve"> DEAP/106/2016, signado por el Director Ejecutivo de Administración y Prerrogativas de este Instituto</w:t>
      </w:r>
      <w:r>
        <w:rPr>
          <w:rFonts w:ascii="Palatino Linotype" w:hAnsi="Palatino Linotype"/>
          <w:sz w:val="22"/>
          <w:szCs w:val="22"/>
        </w:rPr>
        <w:t>, dicha información se clasificó</w:t>
      </w:r>
      <w:r w:rsidRPr="005A1184">
        <w:rPr>
          <w:rFonts w:ascii="Palatino Linotype" w:hAnsi="Palatino Linotype"/>
          <w:sz w:val="22"/>
          <w:szCs w:val="22"/>
        </w:rPr>
        <w:t xml:space="preserve"> </w:t>
      </w:r>
      <w:r>
        <w:rPr>
          <w:rFonts w:ascii="Palatino Linotype" w:hAnsi="Palatino Linotype"/>
          <w:sz w:val="22"/>
          <w:szCs w:val="22"/>
        </w:rPr>
        <w:t xml:space="preserve">como “pública”, resulta procedente permitir el acceso a la información </w:t>
      </w:r>
      <w:r w:rsidRPr="005A1184">
        <w:rPr>
          <w:rFonts w:ascii="Palatino Linotype" w:hAnsi="Palatino Linotype"/>
          <w:sz w:val="22"/>
          <w:szCs w:val="22"/>
        </w:rPr>
        <w:t>y se hace del conocimiento del interesado que dicho servicio fue proporcionado por la empresa “SMARTMATIC ELECCIONES MÉXICO S.A. DE C.V.” y</w:t>
      </w:r>
      <w:r>
        <w:rPr>
          <w:rFonts w:ascii="Palatino Linotype" w:hAnsi="Palatino Linotype"/>
          <w:sz w:val="22"/>
          <w:szCs w:val="22"/>
        </w:rPr>
        <w:t xml:space="preserve"> que el importe del contrato a</w:t>
      </w:r>
      <w:r w:rsidRPr="005A1184">
        <w:rPr>
          <w:rFonts w:ascii="Palatino Linotype" w:hAnsi="Palatino Linotype"/>
          <w:sz w:val="22"/>
          <w:szCs w:val="22"/>
        </w:rPr>
        <w:t>djudica</w:t>
      </w:r>
      <w:r>
        <w:rPr>
          <w:rFonts w:ascii="Palatino Linotype" w:hAnsi="Palatino Linotype"/>
          <w:sz w:val="22"/>
          <w:szCs w:val="22"/>
        </w:rPr>
        <w:t>do fue de $ 6,992,000.00 (Son: seis millones novecientos noventa y dos mil p</w:t>
      </w:r>
      <w:r w:rsidRPr="005A1184">
        <w:rPr>
          <w:rFonts w:ascii="Palatino Linotype" w:hAnsi="Palatino Linotype"/>
          <w:sz w:val="22"/>
          <w:szCs w:val="22"/>
        </w:rPr>
        <w:t>esos 00/100 M.N.).</w:t>
      </w:r>
    </w:p>
    <w:p w:rsidR="00F71D34" w:rsidRPr="005A1184" w:rsidRDefault="00F71D34" w:rsidP="00F71D34">
      <w:pPr>
        <w:pStyle w:val="Prrafodelista"/>
        <w:ind w:left="0"/>
        <w:jc w:val="both"/>
        <w:rPr>
          <w:rFonts w:ascii="Palatino Linotype" w:hAnsi="Palatino Linotype"/>
          <w:sz w:val="22"/>
          <w:szCs w:val="22"/>
        </w:rPr>
      </w:pPr>
    </w:p>
    <w:p w:rsidR="00F71D34" w:rsidRPr="005A1184" w:rsidRDefault="00F71D34" w:rsidP="00F71D34">
      <w:pPr>
        <w:pStyle w:val="Prrafodelista"/>
        <w:numPr>
          <w:ilvl w:val="0"/>
          <w:numId w:val="1"/>
        </w:numPr>
        <w:spacing w:after="200" w:line="276" w:lineRule="auto"/>
        <w:jc w:val="both"/>
        <w:rPr>
          <w:rFonts w:ascii="Palatino Linotype" w:hAnsi="Palatino Linotype"/>
          <w:b/>
          <w:sz w:val="22"/>
          <w:szCs w:val="22"/>
        </w:rPr>
      </w:pPr>
      <w:r w:rsidRPr="005A1184">
        <w:rPr>
          <w:rFonts w:ascii="Palatino Linotype" w:hAnsi="Palatino Linotype"/>
          <w:b/>
          <w:sz w:val="22"/>
          <w:szCs w:val="22"/>
        </w:rPr>
        <w:t>Si se realizó el Sistema de Información de la jornada electoral, mencionar a la empresa, organización o institució</w:t>
      </w:r>
      <w:r>
        <w:rPr>
          <w:rFonts w:ascii="Palatino Linotype" w:hAnsi="Palatino Linotype"/>
          <w:b/>
          <w:sz w:val="22"/>
          <w:szCs w:val="22"/>
        </w:rPr>
        <w:t>n que lo realizó y mencionar cuá</w:t>
      </w:r>
      <w:r w:rsidRPr="005A1184">
        <w:rPr>
          <w:rFonts w:ascii="Palatino Linotype" w:hAnsi="Palatino Linotype"/>
          <w:b/>
          <w:sz w:val="22"/>
          <w:szCs w:val="22"/>
        </w:rPr>
        <w:t>l fue el monto.</w:t>
      </w:r>
    </w:p>
    <w:p w:rsidR="00F71D34" w:rsidRDefault="00F71D34" w:rsidP="00F71D34">
      <w:pPr>
        <w:pStyle w:val="Prrafodelista"/>
        <w:ind w:left="0"/>
        <w:jc w:val="both"/>
        <w:rPr>
          <w:rFonts w:ascii="Palatino Linotype" w:hAnsi="Palatino Linotype"/>
          <w:b/>
          <w:sz w:val="22"/>
          <w:szCs w:val="22"/>
        </w:rPr>
      </w:pPr>
    </w:p>
    <w:p w:rsidR="00F71D34" w:rsidRPr="005A1184" w:rsidRDefault="00F71D34" w:rsidP="00F71D34">
      <w:pPr>
        <w:pStyle w:val="Prrafodelista"/>
        <w:ind w:left="0"/>
        <w:jc w:val="both"/>
        <w:rPr>
          <w:rFonts w:ascii="Palatino Linotype" w:hAnsi="Palatino Linotype"/>
          <w:sz w:val="22"/>
          <w:szCs w:val="22"/>
        </w:rPr>
      </w:pPr>
      <w:r w:rsidRPr="005A1184">
        <w:rPr>
          <w:rFonts w:ascii="Palatino Linotype" w:hAnsi="Palatino Linotype"/>
          <w:b/>
          <w:sz w:val="22"/>
          <w:szCs w:val="22"/>
        </w:rPr>
        <w:t>R=</w:t>
      </w:r>
      <w:r w:rsidRPr="005A1184">
        <w:rPr>
          <w:rFonts w:ascii="Palatino Linotype" w:hAnsi="Palatino Linotype"/>
          <w:sz w:val="22"/>
          <w:szCs w:val="22"/>
        </w:rPr>
        <w:t xml:space="preserve"> De acuerdo con </w:t>
      </w:r>
      <w:r>
        <w:rPr>
          <w:rFonts w:ascii="Palatino Linotype" w:hAnsi="Palatino Linotype"/>
          <w:sz w:val="22"/>
          <w:szCs w:val="22"/>
        </w:rPr>
        <w:t>los datos proporcionados en el oficio</w:t>
      </w:r>
      <w:r w:rsidRPr="005A1184">
        <w:rPr>
          <w:rFonts w:ascii="Palatino Linotype" w:hAnsi="Palatino Linotype"/>
          <w:sz w:val="22"/>
          <w:szCs w:val="22"/>
        </w:rPr>
        <w:t xml:space="preserve"> DEOE/038/2016, signado por la Directora Ejecutiva de Organización Electoral</w:t>
      </w:r>
      <w:r>
        <w:rPr>
          <w:rFonts w:ascii="Palatino Linotype" w:hAnsi="Palatino Linotype"/>
          <w:sz w:val="22"/>
          <w:szCs w:val="22"/>
        </w:rPr>
        <w:t>, dicha información se clasificó</w:t>
      </w:r>
      <w:r w:rsidRPr="005A1184">
        <w:rPr>
          <w:rFonts w:ascii="Palatino Linotype" w:hAnsi="Palatino Linotype"/>
          <w:sz w:val="22"/>
          <w:szCs w:val="22"/>
        </w:rPr>
        <w:t xml:space="preserve"> como “pública”</w:t>
      </w:r>
      <w:r>
        <w:rPr>
          <w:rFonts w:ascii="Palatino Linotype" w:hAnsi="Palatino Linotype"/>
          <w:sz w:val="22"/>
          <w:szCs w:val="22"/>
        </w:rPr>
        <w:t xml:space="preserve">, resulta procedente permitir el acceso a la información </w:t>
      </w:r>
      <w:r w:rsidRPr="005A1184">
        <w:rPr>
          <w:rFonts w:ascii="Palatino Linotype" w:hAnsi="Palatino Linotype"/>
          <w:sz w:val="22"/>
          <w:szCs w:val="22"/>
        </w:rPr>
        <w:t xml:space="preserve"> y se hace del conocimiento del interesad</w:t>
      </w:r>
      <w:r>
        <w:rPr>
          <w:rFonts w:ascii="Palatino Linotype" w:hAnsi="Palatino Linotype"/>
          <w:sz w:val="22"/>
          <w:szCs w:val="22"/>
        </w:rPr>
        <w:t>o que, en el Estado de Campeche</w:t>
      </w:r>
      <w:r w:rsidRPr="005A1184">
        <w:rPr>
          <w:rFonts w:ascii="Palatino Linotype" w:hAnsi="Palatino Linotype"/>
          <w:sz w:val="22"/>
          <w:szCs w:val="22"/>
        </w:rPr>
        <w:t xml:space="preserve"> durante el Proceso Electoral Estatal Ordinario 2014-2015 se llevaron a cabo elecciones </w:t>
      </w:r>
      <w:r>
        <w:rPr>
          <w:rFonts w:ascii="Palatino Linotype" w:hAnsi="Palatino Linotype"/>
          <w:sz w:val="22"/>
          <w:szCs w:val="22"/>
        </w:rPr>
        <w:t>federales y locales de forma concurrente</w:t>
      </w:r>
      <w:r w:rsidRPr="005A1184">
        <w:rPr>
          <w:rFonts w:ascii="Palatino Linotype" w:hAnsi="Palatino Linotype"/>
          <w:sz w:val="22"/>
          <w:szCs w:val="22"/>
        </w:rPr>
        <w:t>, instalándose una mesa directiva de casilla única para ambos tipos de elección; por lo que, el Instituto Electoral del Estado de Campeche durante la jornada electoral celebrada el día 7 de junio de 2015 utilizó el Sistema de Información sobre el desarrollo de la jornada electoral (SIJE) que fue proporcionado, diseñado, instalado y operado por el Instituto Nacional Electoral.</w:t>
      </w:r>
    </w:p>
    <w:p w:rsidR="00F71D34" w:rsidRPr="005A1184" w:rsidRDefault="00F71D34" w:rsidP="00F71D34">
      <w:pPr>
        <w:pStyle w:val="Prrafodelista"/>
        <w:ind w:left="0"/>
        <w:jc w:val="both"/>
        <w:rPr>
          <w:rFonts w:ascii="Palatino Linotype" w:hAnsi="Palatino Linotype"/>
          <w:sz w:val="22"/>
          <w:szCs w:val="22"/>
        </w:rPr>
      </w:pPr>
    </w:p>
    <w:p w:rsidR="00F71D34" w:rsidRPr="005A1184" w:rsidRDefault="00F71D34" w:rsidP="00F71D34">
      <w:pPr>
        <w:pStyle w:val="Prrafodelista"/>
        <w:ind w:left="0"/>
        <w:jc w:val="both"/>
        <w:rPr>
          <w:rFonts w:ascii="Palatino Linotype" w:hAnsi="Palatino Linotype"/>
          <w:sz w:val="22"/>
          <w:szCs w:val="22"/>
        </w:rPr>
      </w:pPr>
      <w:r w:rsidRPr="005A1184">
        <w:rPr>
          <w:rFonts w:ascii="Palatino Linotype" w:hAnsi="Palatino Linotype"/>
          <w:sz w:val="22"/>
          <w:szCs w:val="22"/>
        </w:rPr>
        <w:t xml:space="preserve">El Instituto Nacional Electoral proporcionó a este Instituto </w:t>
      </w:r>
      <w:r>
        <w:rPr>
          <w:rFonts w:ascii="Palatino Linotype" w:hAnsi="Palatino Linotype"/>
          <w:sz w:val="22"/>
          <w:szCs w:val="22"/>
        </w:rPr>
        <w:t xml:space="preserve">Electoral del Estado de Campeche </w:t>
      </w:r>
      <w:r w:rsidRPr="005A1184">
        <w:rPr>
          <w:rFonts w:ascii="Palatino Linotype" w:hAnsi="Palatino Linotype"/>
          <w:sz w:val="22"/>
          <w:szCs w:val="22"/>
        </w:rPr>
        <w:t>una clave de acceso para monitorear el desarrollo de la Jornada Electoral, a través del Sistema de Información de la Jornada Electoral (SIJE), el cual per</w:t>
      </w:r>
      <w:r>
        <w:rPr>
          <w:rFonts w:ascii="Palatino Linotype" w:hAnsi="Palatino Linotype"/>
          <w:sz w:val="22"/>
          <w:szCs w:val="22"/>
        </w:rPr>
        <w:t>mitió generar los reportes por Distrito y M</w:t>
      </w:r>
      <w:r w:rsidRPr="005A1184">
        <w:rPr>
          <w:rFonts w:ascii="Palatino Linotype" w:hAnsi="Palatino Linotype"/>
          <w:sz w:val="22"/>
          <w:szCs w:val="22"/>
        </w:rPr>
        <w:t xml:space="preserve">unicipio, respecto de los avances de la instalación de las casillas, inicio de la votación y clausura de las casillas, a fin de mantener informado al Consejo General </w:t>
      </w:r>
      <w:r>
        <w:rPr>
          <w:rFonts w:ascii="Palatino Linotype" w:hAnsi="Palatino Linotype"/>
          <w:sz w:val="22"/>
          <w:szCs w:val="22"/>
        </w:rPr>
        <w:t xml:space="preserve">de este Instituto </w:t>
      </w:r>
      <w:r w:rsidRPr="005A1184">
        <w:rPr>
          <w:rFonts w:ascii="Palatino Linotype" w:hAnsi="Palatino Linotype"/>
          <w:sz w:val="22"/>
          <w:szCs w:val="22"/>
        </w:rPr>
        <w:t>durante el desarrollo de la sesión permanente.</w:t>
      </w:r>
    </w:p>
    <w:p w:rsidR="00F71D34" w:rsidRPr="005A1184" w:rsidRDefault="00F71D34" w:rsidP="00F71D34">
      <w:pPr>
        <w:pStyle w:val="Prrafodelista"/>
        <w:ind w:left="0"/>
        <w:jc w:val="both"/>
        <w:rPr>
          <w:rFonts w:ascii="Palatino Linotype" w:hAnsi="Palatino Linotype"/>
          <w:sz w:val="22"/>
          <w:szCs w:val="22"/>
        </w:rPr>
      </w:pPr>
    </w:p>
    <w:p w:rsidR="00F71D34" w:rsidRPr="005A1184" w:rsidRDefault="00F71D34" w:rsidP="00F71D34">
      <w:pPr>
        <w:pStyle w:val="Prrafodelista"/>
        <w:ind w:left="0"/>
        <w:jc w:val="both"/>
        <w:rPr>
          <w:rFonts w:ascii="Palatino Linotype" w:hAnsi="Palatino Linotype"/>
          <w:sz w:val="22"/>
          <w:szCs w:val="22"/>
        </w:rPr>
      </w:pPr>
      <w:r>
        <w:rPr>
          <w:rFonts w:ascii="Palatino Linotype" w:hAnsi="Palatino Linotype"/>
          <w:sz w:val="22"/>
          <w:szCs w:val="22"/>
        </w:rPr>
        <w:t>De lo anterior se da cuenta</w:t>
      </w:r>
      <w:r w:rsidRPr="005A1184">
        <w:rPr>
          <w:rFonts w:ascii="Palatino Linotype" w:hAnsi="Palatino Linotype"/>
          <w:sz w:val="22"/>
          <w:szCs w:val="22"/>
        </w:rPr>
        <w:t>, con base a que el Consejo General del Instituto Nacional Electoral en su Sesión Extraordinaria celebrada el día 13 de agosto de 2014, emitió el Acuerdo INE/CG114/2014 intitulado “</w:t>
      </w:r>
      <w:r w:rsidRPr="00E37248">
        <w:rPr>
          <w:rFonts w:ascii="Palatino Linotype" w:hAnsi="Palatino Linotype"/>
          <w:i/>
          <w:caps/>
          <w:sz w:val="22"/>
          <w:szCs w:val="22"/>
        </w:rPr>
        <w:t>Acuerdo del Consejo General del Instituto Nacional Electoral por el que se aprueba el modelo de Casilla Única para las elecciones concurrentes que se celebrarán en el año de 2015”</w:t>
      </w:r>
      <w:r w:rsidRPr="005A1184">
        <w:rPr>
          <w:rFonts w:ascii="Palatino Linotype" w:hAnsi="Palatino Linotype"/>
          <w:sz w:val="22"/>
          <w:szCs w:val="22"/>
        </w:rPr>
        <w:t xml:space="preserve">, estableciéndose en el punto Primero del Acuerdo lo siguiente: </w:t>
      </w:r>
      <w:r w:rsidRPr="00EE17AC">
        <w:rPr>
          <w:rFonts w:ascii="Palatino Linotype" w:hAnsi="Palatino Linotype"/>
          <w:i/>
          <w:sz w:val="22"/>
          <w:szCs w:val="22"/>
        </w:rPr>
        <w:t xml:space="preserve">“PRIMERO.- Se aprueba el modelo de casilla única del Instituto Nacional Electoral para las </w:t>
      </w:r>
      <w:r w:rsidRPr="00EE17AC">
        <w:rPr>
          <w:rFonts w:ascii="Palatino Linotype" w:hAnsi="Palatino Linotype"/>
          <w:i/>
          <w:sz w:val="22"/>
          <w:szCs w:val="22"/>
        </w:rPr>
        <w:lastRenderedPageBreak/>
        <w:t>elecciones concurrentes 2015, el cual se integra como Anexo 1, y forman parte del presente Acuerdo</w:t>
      </w:r>
      <w:r w:rsidRPr="005A1184">
        <w:rPr>
          <w:rFonts w:ascii="Palatino Linotype" w:hAnsi="Palatino Linotype"/>
          <w:sz w:val="22"/>
          <w:szCs w:val="22"/>
        </w:rPr>
        <w:t xml:space="preserve">”. Así como también, en el Convenio General de Coordinación celebrado por el Instituto Nacional Electoral y el Instituto Electoral del Estado de Campeche, con el fin de coordinar el desarrollo de las elecciones federales y locales en el Estado de Campeche, </w:t>
      </w:r>
      <w:r>
        <w:rPr>
          <w:rFonts w:ascii="Palatino Linotype" w:hAnsi="Palatino Linotype"/>
          <w:sz w:val="22"/>
          <w:szCs w:val="22"/>
        </w:rPr>
        <w:t xml:space="preserve">de </w:t>
      </w:r>
      <w:r w:rsidRPr="005A1184">
        <w:rPr>
          <w:rFonts w:ascii="Palatino Linotype" w:hAnsi="Palatino Linotype"/>
          <w:sz w:val="22"/>
          <w:szCs w:val="22"/>
        </w:rPr>
        <w:t>día 18 de diciembre de 2014, estableció en su A</w:t>
      </w:r>
      <w:r>
        <w:rPr>
          <w:rFonts w:ascii="Palatino Linotype" w:hAnsi="Palatino Linotype"/>
          <w:sz w:val="22"/>
          <w:szCs w:val="22"/>
        </w:rPr>
        <w:t>partado A. CASILLA ÚNICA, punto</w:t>
      </w:r>
      <w:r w:rsidRPr="005A1184">
        <w:rPr>
          <w:rFonts w:ascii="Palatino Linotype" w:hAnsi="Palatino Linotype"/>
          <w:sz w:val="22"/>
          <w:szCs w:val="22"/>
        </w:rPr>
        <w:t xml:space="preserve"> 6. Jornada Electoral, 6 .1 Sistema de Información sobre el desarrollo de la Jornada Electoral (SIJE).</w:t>
      </w:r>
    </w:p>
    <w:p w:rsidR="00F71D34" w:rsidRPr="005A1184" w:rsidRDefault="00F71D34" w:rsidP="00F71D34">
      <w:pPr>
        <w:pStyle w:val="Prrafodelista"/>
        <w:ind w:left="0"/>
        <w:jc w:val="both"/>
        <w:rPr>
          <w:rFonts w:ascii="Palatino Linotype" w:hAnsi="Palatino Linotype"/>
          <w:sz w:val="22"/>
          <w:szCs w:val="22"/>
        </w:rPr>
      </w:pPr>
    </w:p>
    <w:p w:rsidR="00F71D34" w:rsidRPr="005A1184" w:rsidRDefault="00F71D34" w:rsidP="00F71D34">
      <w:pPr>
        <w:pStyle w:val="Prrafodelista"/>
        <w:ind w:left="0"/>
        <w:jc w:val="both"/>
        <w:rPr>
          <w:rFonts w:ascii="Palatino Linotype" w:hAnsi="Palatino Linotype"/>
          <w:sz w:val="22"/>
          <w:szCs w:val="22"/>
        </w:rPr>
      </w:pPr>
      <w:r>
        <w:rPr>
          <w:rFonts w:ascii="Palatino Linotype" w:hAnsi="Palatino Linotype"/>
          <w:sz w:val="22"/>
          <w:szCs w:val="22"/>
        </w:rPr>
        <w:t>Además también</w:t>
      </w:r>
      <w:r w:rsidRPr="005A1184">
        <w:rPr>
          <w:rFonts w:ascii="Palatino Linotype" w:hAnsi="Palatino Linotype"/>
          <w:sz w:val="22"/>
          <w:szCs w:val="22"/>
        </w:rPr>
        <w:t xml:space="preserve"> como se dispuso en el </w:t>
      </w:r>
      <w:r>
        <w:rPr>
          <w:rFonts w:ascii="Palatino Linotype" w:hAnsi="Palatino Linotype"/>
          <w:sz w:val="22"/>
          <w:szCs w:val="22"/>
        </w:rPr>
        <w:t>inciso a) del mismo documento</w:t>
      </w:r>
      <w:r w:rsidRPr="005A1184">
        <w:rPr>
          <w:rFonts w:ascii="Palatino Linotype" w:hAnsi="Palatino Linotype"/>
          <w:sz w:val="22"/>
          <w:szCs w:val="22"/>
        </w:rPr>
        <w:t xml:space="preserve">: </w:t>
      </w:r>
      <w:r w:rsidRPr="00EE17AC">
        <w:rPr>
          <w:rFonts w:ascii="Palatino Linotype" w:hAnsi="Palatino Linotype"/>
          <w:i/>
          <w:sz w:val="22"/>
          <w:szCs w:val="22"/>
        </w:rPr>
        <w:t>“a) El diseño, instalación y operación del Sistema de Información sobre el desarrollo de la Jornada Electoral (SIJE) 2015, estará a cargo de “EL INE…”.</w:t>
      </w:r>
    </w:p>
    <w:p w:rsidR="00F71D34" w:rsidRDefault="00F71D34" w:rsidP="00F71D34">
      <w:pPr>
        <w:pStyle w:val="Prrafodelista"/>
        <w:ind w:left="0"/>
        <w:jc w:val="both"/>
        <w:rPr>
          <w:rFonts w:ascii="Palatino Linotype" w:hAnsi="Palatino Linotype"/>
          <w:sz w:val="22"/>
          <w:szCs w:val="22"/>
        </w:rPr>
      </w:pPr>
    </w:p>
    <w:p w:rsidR="00F71D34" w:rsidRDefault="00F71D34" w:rsidP="00F71D34">
      <w:pPr>
        <w:pStyle w:val="Prrafodelista"/>
        <w:numPr>
          <w:ilvl w:val="0"/>
          <w:numId w:val="2"/>
        </w:numPr>
        <w:jc w:val="both"/>
        <w:rPr>
          <w:rFonts w:ascii="Palatino Linotype" w:hAnsi="Palatino Linotype"/>
          <w:b/>
          <w:sz w:val="22"/>
          <w:szCs w:val="22"/>
        </w:rPr>
      </w:pPr>
      <w:r>
        <w:rPr>
          <w:rFonts w:ascii="Palatino Linotype" w:hAnsi="Palatino Linotype"/>
          <w:b/>
          <w:sz w:val="22"/>
          <w:szCs w:val="22"/>
        </w:rPr>
        <w:t>Copia de gafete utilizado por la empresa o institución que realizó el PREP.</w:t>
      </w:r>
    </w:p>
    <w:p w:rsidR="00F71D34" w:rsidRDefault="00F71D34" w:rsidP="00F71D34">
      <w:pPr>
        <w:pStyle w:val="Prrafodelista"/>
        <w:ind w:left="0"/>
        <w:jc w:val="both"/>
        <w:rPr>
          <w:rFonts w:ascii="Palatino Linotype" w:hAnsi="Palatino Linotype"/>
          <w:b/>
          <w:sz w:val="22"/>
          <w:szCs w:val="22"/>
        </w:rPr>
      </w:pPr>
    </w:p>
    <w:p w:rsidR="00F71D34" w:rsidRDefault="00F71D34" w:rsidP="00F71D34">
      <w:pPr>
        <w:pStyle w:val="Prrafodelista"/>
        <w:ind w:left="0"/>
        <w:jc w:val="both"/>
        <w:rPr>
          <w:rFonts w:ascii="Palatino Linotype" w:hAnsi="Palatino Linotype"/>
          <w:sz w:val="22"/>
          <w:szCs w:val="22"/>
        </w:rPr>
      </w:pPr>
      <w:r>
        <w:rPr>
          <w:rFonts w:ascii="Palatino Linotype" w:hAnsi="Palatino Linotype"/>
          <w:b/>
          <w:sz w:val="22"/>
          <w:szCs w:val="22"/>
        </w:rPr>
        <w:t xml:space="preserve">R= </w:t>
      </w:r>
      <w:r>
        <w:rPr>
          <w:rFonts w:ascii="Palatino Linotype" w:hAnsi="Palatino Linotype"/>
          <w:sz w:val="22"/>
          <w:szCs w:val="22"/>
        </w:rPr>
        <w:t xml:space="preserve">De acuerdo con los datos proporcionados en el oficio USTC/0081/2016, signado por el titular del Área Administrativa Especializada de Sistemas de Tecnologías y Cómputo de este Instituto Electoral, dicha información se clasifica como “pública” y resulta procedente proporcionar al interesado 4 copias simples de los 4 modelos de los gafetes utilizados por la empresa que realizó el Programa de Resultados Electorales Preliminares durante el Proceso Electoral Estatal Ordinario 2014-2015 (constante de 4 fojas). </w:t>
      </w:r>
    </w:p>
    <w:p w:rsidR="00F71D34" w:rsidRPr="005A1184" w:rsidRDefault="00F71D34" w:rsidP="00F71D34">
      <w:pPr>
        <w:pStyle w:val="Prrafodelista"/>
        <w:ind w:left="0"/>
        <w:jc w:val="both"/>
        <w:rPr>
          <w:rFonts w:ascii="Palatino Linotype" w:hAnsi="Palatino Linotype"/>
          <w:sz w:val="22"/>
          <w:szCs w:val="22"/>
        </w:rPr>
      </w:pPr>
    </w:p>
    <w:p w:rsidR="00F71D34" w:rsidRPr="00CE62AE" w:rsidRDefault="00F71D34" w:rsidP="00F71D34">
      <w:pPr>
        <w:pStyle w:val="Prrafodelista"/>
        <w:numPr>
          <w:ilvl w:val="0"/>
          <w:numId w:val="2"/>
        </w:numPr>
        <w:spacing w:after="200" w:line="276" w:lineRule="auto"/>
        <w:jc w:val="both"/>
        <w:rPr>
          <w:rFonts w:ascii="Palatino Linotype" w:hAnsi="Palatino Linotype"/>
          <w:b/>
          <w:sz w:val="22"/>
          <w:szCs w:val="22"/>
        </w:rPr>
      </w:pPr>
      <w:r w:rsidRPr="00CE62AE">
        <w:rPr>
          <w:rFonts w:ascii="Palatino Linotype" w:hAnsi="Palatino Linotype"/>
          <w:b/>
          <w:sz w:val="22"/>
          <w:szCs w:val="22"/>
        </w:rPr>
        <w:t>Copia del contrato entre el Instituto</w:t>
      </w:r>
      <w:r>
        <w:rPr>
          <w:rFonts w:ascii="Palatino Linotype" w:hAnsi="Palatino Linotype"/>
          <w:b/>
          <w:sz w:val="22"/>
          <w:szCs w:val="22"/>
        </w:rPr>
        <w:t xml:space="preserve"> Electoral y el ente que realizó</w:t>
      </w:r>
      <w:r w:rsidRPr="00CE62AE">
        <w:rPr>
          <w:rFonts w:ascii="Palatino Linotype" w:hAnsi="Palatino Linotype"/>
          <w:b/>
          <w:sz w:val="22"/>
          <w:szCs w:val="22"/>
        </w:rPr>
        <w:t xml:space="preserve"> el denominado PREP y anexos técnicos si los hubiese</w:t>
      </w:r>
      <w:r>
        <w:rPr>
          <w:rFonts w:ascii="Palatino Linotype" w:hAnsi="Palatino Linotype"/>
          <w:b/>
          <w:sz w:val="22"/>
          <w:szCs w:val="22"/>
        </w:rPr>
        <w:t>.</w:t>
      </w:r>
    </w:p>
    <w:p w:rsidR="00F71D34" w:rsidRDefault="00F71D34" w:rsidP="00F71D34">
      <w:pPr>
        <w:jc w:val="both"/>
        <w:rPr>
          <w:rFonts w:ascii="Palatino Linotype" w:hAnsi="Palatino Linotype"/>
          <w:sz w:val="22"/>
          <w:szCs w:val="22"/>
        </w:rPr>
      </w:pPr>
      <w:r w:rsidRPr="005A1184">
        <w:rPr>
          <w:rFonts w:ascii="Palatino Linotype" w:hAnsi="Palatino Linotype"/>
          <w:b/>
          <w:sz w:val="22"/>
          <w:szCs w:val="22"/>
        </w:rPr>
        <w:t>R=</w:t>
      </w:r>
      <w:r w:rsidRPr="005A1184">
        <w:rPr>
          <w:rFonts w:ascii="Palatino Linotype" w:hAnsi="Palatino Linotype"/>
          <w:sz w:val="22"/>
          <w:szCs w:val="22"/>
        </w:rPr>
        <w:t xml:space="preserve"> De acuerdo con </w:t>
      </w:r>
      <w:r>
        <w:rPr>
          <w:rFonts w:ascii="Palatino Linotype" w:hAnsi="Palatino Linotype"/>
          <w:sz w:val="22"/>
          <w:szCs w:val="22"/>
        </w:rPr>
        <w:t>los datos proporcionados en el oficio</w:t>
      </w:r>
      <w:r w:rsidRPr="005A1184">
        <w:rPr>
          <w:rFonts w:ascii="Palatino Linotype" w:hAnsi="Palatino Linotype"/>
          <w:sz w:val="22"/>
          <w:szCs w:val="22"/>
        </w:rPr>
        <w:t xml:space="preserve"> DEAP/106/2016, signado por el Director Ejecutivo de Administración y Prerrogativas de este Instituto</w:t>
      </w:r>
      <w:r>
        <w:rPr>
          <w:rFonts w:ascii="Palatino Linotype" w:hAnsi="Palatino Linotype"/>
          <w:sz w:val="22"/>
          <w:szCs w:val="22"/>
        </w:rPr>
        <w:t xml:space="preserve"> Electoral</w:t>
      </w:r>
      <w:r w:rsidRPr="005A1184">
        <w:rPr>
          <w:rFonts w:ascii="Palatino Linotype" w:hAnsi="Palatino Linotype"/>
          <w:sz w:val="22"/>
          <w:szCs w:val="22"/>
        </w:rPr>
        <w:t>, dicha información se clasifica como “pública”</w:t>
      </w:r>
      <w:r>
        <w:rPr>
          <w:rFonts w:ascii="Palatino Linotype" w:hAnsi="Palatino Linotype"/>
          <w:sz w:val="22"/>
          <w:szCs w:val="22"/>
        </w:rPr>
        <w:t xml:space="preserve">, resulta procedente permitir el acceso a la información </w:t>
      </w:r>
      <w:r w:rsidRPr="005A1184">
        <w:rPr>
          <w:rFonts w:ascii="Palatino Linotype" w:hAnsi="Palatino Linotype"/>
          <w:sz w:val="22"/>
          <w:szCs w:val="22"/>
        </w:rPr>
        <w:t xml:space="preserve">y </w:t>
      </w:r>
      <w:r>
        <w:rPr>
          <w:rFonts w:ascii="Palatino Linotype" w:hAnsi="Palatino Linotype"/>
          <w:sz w:val="22"/>
          <w:szCs w:val="22"/>
        </w:rPr>
        <w:t>se le proporciona</w:t>
      </w:r>
      <w:r w:rsidRPr="005A1184">
        <w:rPr>
          <w:rFonts w:ascii="Palatino Linotype" w:hAnsi="Palatino Linotype"/>
          <w:sz w:val="22"/>
          <w:szCs w:val="22"/>
        </w:rPr>
        <w:t xml:space="preserve"> al interesado copia simple de los documentos que a</w:t>
      </w:r>
      <w:r>
        <w:rPr>
          <w:rFonts w:ascii="Palatino Linotype" w:hAnsi="Palatino Linotype"/>
          <w:sz w:val="22"/>
          <w:szCs w:val="22"/>
        </w:rPr>
        <w:t xml:space="preserve"> continuación se describen: 1) v</w:t>
      </w:r>
      <w:r w:rsidRPr="005A1184">
        <w:rPr>
          <w:rFonts w:ascii="Palatino Linotype" w:hAnsi="Palatino Linotype"/>
          <w:sz w:val="22"/>
          <w:szCs w:val="22"/>
        </w:rPr>
        <w:t>ersión pública del “Contrato de prestación del servicio de diseño, instalación e implementación del Programa de Resu</w:t>
      </w:r>
      <w:r>
        <w:rPr>
          <w:rFonts w:ascii="Palatino Linotype" w:hAnsi="Palatino Linotype"/>
          <w:sz w:val="22"/>
          <w:szCs w:val="22"/>
        </w:rPr>
        <w:t>ltados Electorales Preliminares</w:t>
      </w:r>
      <w:r w:rsidRPr="005A1184">
        <w:rPr>
          <w:rFonts w:ascii="Palatino Linotype" w:hAnsi="Palatino Linotype"/>
          <w:sz w:val="22"/>
          <w:szCs w:val="22"/>
        </w:rPr>
        <w:t xml:space="preserve"> para el Proceso Electoral Estatal Ordinario 2014-2015” (Co</w:t>
      </w:r>
      <w:r>
        <w:rPr>
          <w:rFonts w:ascii="Palatino Linotype" w:hAnsi="Palatino Linotype"/>
          <w:sz w:val="22"/>
          <w:szCs w:val="22"/>
        </w:rPr>
        <w:t>ntrato DEAP/026/2015) (constante de 13 fojas); 2) copia simple de la notificación del fallo de licitación pública (</w:t>
      </w:r>
      <w:r w:rsidRPr="005A1184">
        <w:rPr>
          <w:rFonts w:ascii="Palatino Linotype" w:hAnsi="Palatino Linotype"/>
          <w:sz w:val="22"/>
          <w:szCs w:val="22"/>
        </w:rPr>
        <w:t>consta</w:t>
      </w:r>
      <w:r>
        <w:rPr>
          <w:rFonts w:ascii="Palatino Linotype" w:hAnsi="Palatino Linotype"/>
          <w:sz w:val="22"/>
          <w:szCs w:val="22"/>
        </w:rPr>
        <w:t>nte de 1 foja); 3) c</w:t>
      </w:r>
      <w:r w:rsidRPr="005A1184">
        <w:rPr>
          <w:rFonts w:ascii="Palatino Linotype" w:hAnsi="Palatino Linotype"/>
          <w:sz w:val="22"/>
          <w:szCs w:val="22"/>
        </w:rPr>
        <w:t>o</w:t>
      </w:r>
      <w:r>
        <w:rPr>
          <w:rFonts w:ascii="Palatino Linotype" w:hAnsi="Palatino Linotype"/>
          <w:sz w:val="22"/>
          <w:szCs w:val="22"/>
        </w:rPr>
        <w:t>pia simple del acta circunstanciada del acto de fallo de la licitación p</w:t>
      </w:r>
      <w:r w:rsidRPr="005A1184">
        <w:rPr>
          <w:rFonts w:ascii="Palatino Linotype" w:hAnsi="Palatino Linotype"/>
          <w:sz w:val="22"/>
          <w:szCs w:val="22"/>
        </w:rPr>
        <w:t>ública IEEC-LP-02-2015, Programa de Resultad</w:t>
      </w:r>
      <w:r>
        <w:rPr>
          <w:rFonts w:ascii="Palatino Linotype" w:hAnsi="Palatino Linotype"/>
          <w:sz w:val="22"/>
          <w:szCs w:val="22"/>
        </w:rPr>
        <w:t>os Electorales Preliminares (</w:t>
      </w:r>
      <w:r w:rsidRPr="005A1184">
        <w:rPr>
          <w:rFonts w:ascii="Palatino Linotype" w:hAnsi="Palatino Linotype"/>
          <w:sz w:val="22"/>
          <w:szCs w:val="22"/>
        </w:rPr>
        <w:t>consta</w:t>
      </w:r>
      <w:r>
        <w:rPr>
          <w:rFonts w:ascii="Palatino Linotype" w:hAnsi="Palatino Linotype"/>
          <w:sz w:val="22"/>
          <w:szCs w:val="22"/>
        </w:rPr>
        <w:t>nte de 4 fojas);  4) copia simple del dictamen de fallo (</w:t>
      </w:r>
      <w:r w:rsidRPr="005A1184">
        <w:rPr>
          <w:rFonts w:ascii="Palatino Linotype" w:hAnsi="Palatino Linotype"/>
          <w:sz w:val="22"/>
          <w:szCs w:val="22"/>
        </w:rPr>
        <w:t>consta</w:t>
      </w:r>
      <w:r>
        <w:rPr>
          <w:rFonts w:ascii="Palatino Linotype" w:hAnsi="Palatino Linotype"/>
          <w:sz w:val="22"/>
          <w:szCs w:val="22"/>
        </w:rPr>
        <w:t>nte de</w:t>
      </w:r>
      <w:r w:rsidRPr="005A1184">
        <w:rPr>
          <w:rFonts w:ascii="Palatino Linotype" w:hAnsi="Palatino Linotype"/>
          <w:sz w:val="22"/>
          <w:szCs w:val="22"/>
        </w:rPr>
        <w:t xml:space="preserve"> 2 fojas</w:t>
      </w:r>
      <w:r>
        <w:rPr>
          <w:rFonts w:ascii="Palatino Linotype" w:hAnsi="Palatino Linotype"/>
          <w:sz w:val="22"/>
          <w:szCs w:val="22"/>
        </w:rPr>
        <w:t>)</w:t>
      </w:r>
      <w:r w:rsidRPr="005A1184">
        <w:rPr>
          <w:rFonts w:ascii="Palatino Linotype" w:hAnsi="Palatino Linotype"/>
          <w:sz w:val="22"/>
          <w:szCs w:val="22"/>
        </w:rPr>
        <w:t xml:space="preserve">; y 5) Copia simple de la </w:t>
      </w:r>
      <w:r>
        <w:rPr>
          <w:rFonts w:ascii="Palatino Linotype" w:hAnsi="Palatino Linotype"/>
          <w:sz w:val="22"/>
          <w:szCs w:val="22"/>
        </w:rPr>
        <w:t>F</w:t>
      </w:r>
      <w:r w:rsidRPr="00094EC1">
        <w:rPr>
          <w:rFonts w:ascii="Palatino Linotype" w:hAnsi="Palatino Linotype"/>
          <w:sz w:val="22"/>
          <w:szCs w:val="22"/>
        </w:rPr>
        <w:t xml:space="preserve">icha </w:t>
      </w:r>
      <w:r>
        <w:rPr>
          <w:rFonts w:ascii="Palatino Linotype" w:hAnsi="Palatino Linotype"/>
          <w:sz w:val="22"/>
          <w:szCs w:val="22"/>
        </w:rPr>
        <w:t>T</w:t>
      </w:r>
      <w:r w:rsidRPr="00094EC1">
        <w:rPr>
          <w:rFonts w:ascii="Palatino Linotype" w:hAnsi="Palatino Linotype"/>
          <w:sz w:val="22"/>
          <w:szCs w:val="22"/>
        </w:rPr>
        <w:t>écnica</w:t>
      </w:r>
      <w:r>
        <w:rPr>
          <w:rFonts w:ascii="Palatino Linotype" w:hAnsi="Palatino Linotype"/>
          <w:sz w:val="22"/>
          <w:szCs w:val="22"/>
        </w:rPr>
        <w:t xml:space="preserve"> del D</w:t>
      </w:r>
      <w:r w:rsidRPr="00094EC1">
        <w:rPr>
          <w:rFonts w:ascii="Palatino Linotype" w:hAnsi="Palatino Linotype"/>
          <w:sz w:val="22"/>
          <w:szCs w:val="22"/>
        </w:rPr>
        <w:t xml:space="preserve">iseño, </w:t>
      </w:r>
      <w:r>
        <w:rPr>
          <w:rFonts w:ascii="Palatino Linotype" w:hAnsi="Palatino Linotype"/>
          <w:sz w:val="22"/>
          <w:szCs w:val="22"/>
        </w:rPr>
        <w:t>Instalació</w:t>
      </w:r>
      <w:r w:rsidRPr="00094EC1">
        <w:rPr>
          <w:rFonts w:ascii="Palatino Linotype" w:hAnsi="Palatino Linotype"/>
          <w:sz w:val="22"/>
          <w:szCs w:val="22"/>
        </w:rPr>
        <w:t xml:space="preserve">n e </w:t>
      </w:r>
      <w:r>
        <w:rPr>
          <w:rFonts w:ascii="Palatino Linotype" w:hAnsi="Palatino Linotype"/>
          <w:sz w:val="22"/>
          <w:szCs w:val="22"/>
        </w:rPr>
        <w:t>Implementació</w:t>
      </w:r>
      <w:r w:rsidRPr="00094EC1">
        <w:rPr>
          <w:rFonts w:ascii="Palatino Linotype" w:hAnsi="Palatino Linotype"/>
          <w:sz w:val="22"/>
          <w:szCs w:val="22"/>
        </w:rPr>
        <w:t xml:space="preserve">n del </w:t>
      </w:r>
      <w:r>
        <w:rPr>
          <w:rFonts w:ascii="Palatino Linotype" w:hAnsi="Palatino Linotype"/>
          <w:sz w:val="22"/>
          <w:szCs w:val="22"/>
        </w:rPr>
        <w:t>P</w:t>
      </w:r>
      <w:r w:rsidRPr="00094EC1">
        <w:rPr>
          <w:rFonts w:ascii="Palatino Linotype" w:hAnsi="Palatino Linotype"/>
          <w:sz w:val="22"/>
          <w:szCs w:val="22"/>
        </w:rPr>
        <w:t xml:space="preserve">rograma de </w:t>
      </w:r>
      <w:r>
        <w:rPr>
          <w:rFonts w:ascii="Palatino Linotype" w:hAnsi="Palatino Linotype"/>
          <w:sz w:val="22"/>
          <w:szCs w:val="22"/>
        </w:rPr>
        <w:t>R</w:t>
      </w:r>
      <w:r w:rsidRPr="00094EC1">
        <w:rPr>
          <w:rFonts w:ascii="Palatino Linotype" w:hAnsi="Palatino Linotype"/>
          <w:sz w:val="22"/>
          <w:szCs w:val="22"/>
        </w:rPr>
        <w:t xml:space="preserve">esultados </w:t>
      </w:r>
      <w:r>
        <w:rPr>
          <w:rFonts w:ascii="Palatino Linotype" w:hAnsi="Palatino Linotype"/>
          <w:sz w:val="22"/>
          <w:szCs w:val="22"/>
        </w:rPr>
        <w:t>E</w:t>
      </w:r>
      <w:r w:rsidRPr="00094EC1">
        <w:rPr>
          <w:rFonts w:ascii="Palatino Linotype" w:hAnsi="Palatino Linotype"/>
          <w:sz w:val="22"/>
          <w:szCs w:val="22"/>
        </w:rPr>
        <w:t xml:space="preserve">lectorales </w:t>
      </w:r>
      <w:r>
        <w:rPr>
          <w:rFonts w:ascii="Palatino Linotype" w:hAnsi="Palatino Linotype"/>
          <w:sz w:val="22"/>
          <w:szCs w:val="22"/>
        </w:rPr>
        <w:t>P</w:t>
      </w:r>
      <w:r w:rsidRPr="00094EC1">
        <w:rPr>
          <w:rFonts w:ascii="Palatino Linotype" w:hAnsi="Palatino Linotype"/>
          <w:sz w:val="22"/>
          <w:szCs w:val="22"/>
        </w:rPr>
        <w:t>reliminares (</w:t>
      </w:r>
      <w:r>
        <w:rPr>
          <w:rFonts w:ascii="Palatino Linotype" w:hAnsi="Palatino Linotype"/>
          <w:sz w:val="22"/>
          <w:szCs w:val="22"/>
        </w:rPr>
        <w:t>PREP</w:t>
      </w:r>
      <w:r w:rsidRPr="00094EC1">
        <w:rPr>
          <w:rFonts w:ascii="Palatino Linotype" w:hAnsi="Palatino Linotype"/>
          <w:sz w:val="22"/>
          <w:szCs w:val="22"/>
        </w:rPr>
        <w:t xml:space="preserve">) para el </w:t>
      </w:r>
      <w:r>
        <w:rPr>
          <w:rFonts w:ascii="Palatino Linotype" w:hAnsi="Palatino Linotype"/>
          <w:sz w:val="22"/>
          <w:szCs w:val="22"/>
        </w:rPr>
        <w:t>P</w:t>
      </w:r>
      <w:r w:rsidRPr="00094EC1">
        <w:rPr>
          <w:rFonts w:ascii="Palatino Linotype" w:hAnsi="Palatino Linotype"/>
          <w:sz w:val="22"/>
          <w:szCs w:val="22"/>
        </w:rPr>
        <w:t xml:space="preserve">roceso </w:t>
      </w:r>
      <w:r>
        <w:rPr>
          <w:rFonts w:ascii="Palatino Linotype" w:hAnsi="Palatino Linotype"/>
          <w:sz w:val="22"/>
          <w:szCs w:val="22"/>
        </w:rPr>
        <w:t>E</w:t>
      </w:r>
      <w:r w:rsidRPr="00094EC1">
        <w:rPr>
          <w:rFonts w:ascii="Palatino Linotype" w:hAnsi="Palatino Linotype"/>
          <w:sz w:val="22"/>
          <w:szCs w:val="22"/>
        </w:rPr>
        <w:t xml:space="preserve">lectoral </w:t>
      </w:r>
      <w:r>
        <w:rPr>
          <w:rFonts w:ascii="Palatino Linotype" w:hAnsi="Palatino Linotype"/>
          <w:sz w:val="22"/>
          <w:szCs w:val="22"/>
        </w:rPr>
        <w:t>E</w:t>
      </w:r>
      <w:r w:rsidRPr="00094EC1">
        <w:rPr>
          <w:rFonts w:ascii="Palatino Linotype" w:hAnsi="Palatino Linotype"/>
          <w:sz w:val="22"/>
          <w:szCs w:val="22"/>
        </w:rPr>
        <w:t xml:space="preserve">statal </w:t>
      </w:r>
      <w:r>
        <w:rPr>
          <w:rFonts w:ascii="Palatino Linotype" w:hAnsi="Palatino Linotype"/>
          <w:sz w:val="22"/>
          <w:szCs w:val="22"/>
        </w:rPr>
        <w:t>O</w:t>
      </w:r>
      <w:r w:rsidRPr="00094EC1">
        <w:rPr>
          <w:rFonts w:ascii="Palatino Linotype" w:hAnsi="Palatino Linotype"/>
          <w:sz w:val="22"/>
          <w:szCs w:val="22"/>
        </w:rPr>
        <w:t>rdinario 2014-2015</w:t>
      </w:r>
      <w:r>
        <w:rPr>
          <w:rFonts w:ascii="Palatino Linotype" w:hAnsi="Palatino Linotype"/>
          <w:sz w:val="22"/>
          <w:szCs w:val="22"/>
        </w:rPr>
        <w:t xml:space="preserve"> (constante de 21 fojas).</w:t>
      </w:r>
    </w:p>
    <w:p w:rsidR="00F71D34" w:rsidRPr="005A1184" w:rsidRDefault="00F71D34" w:rsidP="00F71D34">
      <w:pPr>
        <w:jc w:val="both"/>
        <w:rPr>
          <w:rFonts w:ascii="Palatino Linotype" w:hAnsi="Palatino Linotype"/>
          <w:sz w:val="22"/>
          <w:szCs w:val="22"/>
        </w:rPr>
      </w:pPr>
    </w:p>
    <w:p w:rsidR="00F71D34" w:rsidRPr="00275EC3" w:rsidRDefault="00F71D34" w:rsidP="00F71D34">
      <w:pPr>
        <w:pStyle w:val="Prrafodelista"/>
        <w:numPr>
          <w:ilvl w:val="0"/>
          <w:numId w:val="2"/>
        </w:numPr>
        <w:spacing w:after="200" w:line="276" w:lineRule="auto"/>
        <w:jc w:val="both"/>
        <w:rPr>
          <w:rFonts w:ascii="Palatino Linotype" w:hAnsi="Palatino Linotype"/>
          <w:b/>
          <w:sz w:val="22"/>
          <w:szCs w:val="22"/>
        </w:rPr>
      </w:pPr>
      <w:r w:rsidRPr="00275EC3">
        <w:rPr>
          <w:rFonts w:ascii="Palatino Linotype" w:hAnsi="Palatino Linotype"/>
          <w:b/>
          <w:sz w:val="22"/>
          <w:szCs w:val="22"/>
        </w:rPr>
        <w:t xml:space="preserve">Copia de las fianzas que garantizan el servicio. </w:t>
      </w:r>
    </w:p>
    <w:p w:rsidR="00F71D34" w:rsidRDefault="00F71D34" w:rsidP="00F71D34">
      <w:pPr>
        <w:pStyle w:val="Prrafodelista"/>
        <w:ind w:left="0"/>
        <w:jc w:val="both"/>
        <w:rPr>
          <w:rFonts w:ascii="Palatino Linotype" w:hAnsi="Palatino Linotype"/>
          <w:b/>
          <w:sz w:val="22"/>
          <w:szCs w:val="22"/>
        </w:rPr>
      </w:pPr>
    </w:p>
    <w:p w:rsidR="00F71D34" w:rsidRDefault="00F71D34" w:rsidP="00F71D34">
      <w:pPr>
        <w:pStyle w:val="Prrafodelista"/>
        <w:ind w:left="0"/>
        <w:jc w:val="both"/>
        <w:rPr>
          <w:rFonts w:ascii="Palatino Linotype" w:hAnsi="Palatino Linotype"/>
          <w:sz w:val="22"/>
          <w:szCs w:val="22"/>
        </w:rPr>
      </w:pPr>
      <w:r w:rsidRPr="005A1184">
        <w:rPr>
          <w:rFonts w:ascii="Palatino Linotype" w:hAnsi="Palatino Linotype"/>
          <w:b/>
          <w:sz w:val="22"/>
          <w:szCs w:val="22"/>
        </w:rPr>
        <w:t>R=</w:t>
      </w:r>
      <w:r w:rsidRPr="005A1184">
        <w:rPr>
          <w:rFonts w:ascii="Palatino Linotype" w:hAnsi="Palatino Linotype"/>
          <w:sz w:val="22"/>
          <w:szCs w:val="22"/>
        </w:rPr>
        <w:t xml:space="preserve"> De acuerdo con </w:t>
      </w:r>
      <w:r>
        <w:rPr>
          <w:rFonts w:ascii="Palatino Linotype" w:hAnsi="Palatino Linotype"/>
          <w:sz w:val="22"/>
          <w:szCs w:val="22"/>
        </w:rPr>
        <w:t>los datos proporcionados en el oficio</w:t>
      </w:r>
      <w:r w:rsidRPr="005A1184">
        <w:rPr>
          <w:rFonts w:ascii="Palatino Linotype" w:hAnsi="Palatino Linotype"/>
          <w:sz w:val="22"/>
          <w:szCs w:val="22"/>
        </w:rPr>
        <w:t xml:space="preserve"> DEAP/106/2016, signado por el Director Ejecutivo de Administración y Prerrogativas de este Instituto</w:t>
      </w:r>
      <w:r>
        <w:rPr>
          <w:rFonts w:ascii="Palatino Linotype" w:hAnsi="Palatino Linotype"/>
          <w:sz w:val="22"/>
          <w:szCs w:val="22"/>
        </w:rPr>
        <w:t xml:space="preserve"> Electoral</w:t>
      </w:r>
      <w:r w:rsidRPr="005A1184">
        <w:rPr>
          <w:rFonts w:ascii="Palatino Linotype" w:hAnsi="Palatino Linotype"/>
          <w:sz w:val="22"/>
          <w:szCs w:val="22"/>
        </w:rPr>
        <w:t xml:space="preserve">, dicha </w:t>
      </w:r>
      <w:r w:rsidRPr="005A1184">
        <w:rPr>
          <w:rFonts w:ascii="Palatino Linotype" w:hAnsi="Palatino Linotype"/>
          <w:sz w:val="22"/>
          <w:szCs w:val="22"/>
        </w:rPr>
        <w:lastRenderedPageBreak/>
        <w:t>información se clasifica como “pública”</w:t>
      </w:r>
      <w:r>
        <w:rPr>
          <w:rFonts w:ascii="Palatino Linotype" w:hAnsi="Palatino Linotype"/>
          <w:sz w:val="22"/>
          <w:szCs w:val="22"/>
        </w:rPr>
        <w:t>, resulta procedente permitir el acceso a la información  y se le</w:t>
      </w:r>
      <w:r w:rsidRPr="005A1184">
        <w:rPr>
          <w:rFonts w:ascii="Palatino Linotype" w:hAnsi="Palatino Linotype"/>
          <w:sz w:val="22"/>
          <w:szCs w:val="22"/>
        </w:rPr>
        <w:t xml:space="preserve"> </w:t>
      </w:r>
      <w:r>
        <w:rPr>
          <w:rFonts w:ascii="Palatino Linotype" w:hAnsi="Palatino Linotype"/>
          <w:sz w:val="22"/>
          <w:szCs w:val="22"/>
        </w:rPr>
        <w:t>proporciona</w:t>
      </w:r>
      <w:r w:rsidRPr="005A1184">
        <w:rPr>
          <w:rFonts w:ascii="Palatino Linotype" w:hAnsi="Palatino Linotype"/>
          <w:sz w:val="22"/>
          <w:szCs w:val="22"/>
        </w:rPr>
        <w:t xml:space="preserve"> al interesado copia simple de las fianzas Números 1D3-00-0025874  y  1D3-00-0025875 proporcionada por “Af</w:t>
      </w:r>
      <w:r>
        <w:rPr>
          <w:rFonts w:ascii="Palatino Linotype" w:hAnsi="Palatino Linotype"/>
          <w:sz w:val="22"/>
          <w:szCs w:val="22"/>
        </w:rPr>
        <w:t>ianzadora Fiducia S.A. DE C.V.” (</w:t>
      </w:r>
      <w:proofErr w:type="gramStart"/>
      <w:r>
        <w:rPr>
          <w:rFonts w:ascii="Palatino Linotype" w:hAnsi="Palatino Linotype"/>
          <w:sz w:val="22"/>
          <w:szCs w:val="22"/>
        </w:rPr>
        <w:t>constante</w:t>
      </w:r>
      <w:proofErr w:type="gramEnd"/>
      <w:r>
        <w:rPr>
          <w:rFonts w:ascii="Palatino Linotype" w:hAnsi="Palatino Linotype"/>
          <w:sz w:val="22"/>
          <w:szCs w:val="22"/>
        </w:rPr>
        <w:t xml:space="preserve"> de</w:t>
      </w:r>
      <w:r w:rsidRPr="005A1184">
        <w:rPr>
          <w:rFonts w:ascii="Palatino Linotype" w:hAnsi="Palatino Linotype"/>
          <w:sz w:val="22"/>
          <w:szCs w:val="22"/>
        </w:rPr>
        <w:t xml:space="preserve"> 2 fojas</w:t>
      </w:r>
      <w:r>
        <w:rPr>
          <w:rFonts w:ascii="Palatino Linotype" w:hAnsi="Palatino Linotype"/>
          <w:sz w:val="22"/>
          <w:szCs w:val="22"/>
        </w:rPr>
        <w:t>)</w:t>
      </w:r>
      <w:r w:rsidRPr="005A1184">
        <w:rPr>
          <w:rFonts w:ascii="Palatino Linotype" w:hAnsi="Palatino Linotype"/>
          <w:sz w:val="22"/>
          <w:szCs w:val="22"/>
        </w:rPr>
        <w:t>.</w:t>
      </w:r>
    </w:p>
    <w:p w:rsidR="00F71D34" w:rsidRPr="005A1184" w:rsidRDefault="00F71D34" w:rsidP="00F71D34">
      <w:pPr>
        <w:jc w:val="both"/>
        <w:rPr>
          <w:rFonts w:ascii="Palatino Linotype" w:hAnsi="Palatino Linotype"/>
          <w:sz w:val="22"/>
          <w:szCs w:val="22"/>
        </w:rPr>
      </w:pPr>
    </w:p>
    <w:p w:rsidR="00F71D34" w:rsidRDefault="00F71D34" w:rsidP="00F71D34">
      <w:pPr>
        <w:pStyle w:val="Prrafodelista"/>
        <w:numPr>
          <w:ilvl w:val="0"/>
          <w:numId w:val="2"/>
        </w:numPr>
        <w:spacing w:after="200" w:line="276" w:lineRule="auto"/>
        <w:jc w:val="both"/>
        <w:rPr>
          <w:rFonts w:ascii="Palatino Linotype" w:hAnsi="Palatino Linotype"/>
          <w:b/>
          <w:sz w:val="22"/>
          <w:szCs w:val="22"/>
        </w:rPr>
      </w:pPr>
      <w:r w:rsidRPr="005A1184">
        <w:rPr>
          <w:rFonts w:ascii="Palatino Linotype" w:hAnsi="Palatino Linotype"/>
          <w:b/>
          <w:sz w:val="22"/>
          <w:szCs w:val="22"/>
        </w:rPr>
        <w:t>Copia de facturas y recibos de pago que amparan los pagos realizados a quien realizó el PREP</w:t>
      </w:r>
      <w:r>
        <w:rPr>
          <w:rFonts w:ascii="Palatino Linotype" w:hAnsi="Palatino Linotype"/>
          <w:b/>
          <w:sz w:val="22"/>
          <w:szCs w:val="22"/>
        </w:rPr>
        <w:t>.</w:t>
      </w:r>
      <w:r w:rsidRPr="005A1184">
        <w:rPr>
          <w:rFonts w:ascii="Palatino Linotype" w:hAnsi="Palatino Linotype"/>
          <w:b/>
          <w:sz w:val="22"/>
          <w:szCs w:val="22"/>
        </w:rPr>
        <w:t xml:space="preserve"> </w:t>
      </w:r>
    </w:p>
    <w:p w:rsidR="00F71D34" w:rsidRPr="005A1184" w:rsidRDefault="00F71D34" w:rsidP="00F71D34">
      <w:pPr>
        <w:pStyle w:val="Prrafodelista"/>
        <w:spacing w:after="200" w:line="276" w:lineRule="auto"/>
        <w:jc w:val="both"/>
        <w:rPr>
          <w:rFonts w:ascii="Palatino Linotype" w:hAnsi="Palatino Linotype"/>
          <w:b/>
          <w:sz w:val="22"/>
          <w:szCs w:val="22"/>
        </w:rPr>
      </w:pPr>
    </w:p>
    <w:p w:rsidR="00F71D34" w:rsidRPr="005A1184" w:rsidRDefault="00F71D34" w:rsidP="00F71D34">
      <w:pPr>
        <w:pStyle w:val="Prrafodelista"/>
        <w:ind w:left="0"/>
        <w:jc w:val="both"/>
        <w:rPr>
          <w:rFonts w:ascii="Palatino Linotype" w:hAnsi="Palatino Linotype"/>
          <w:sz w:val="22"/>
          <w:szCs w:val="22"/>
        </w:rPr>
      </w:pPr>
      <w:r w:rsidRPr="005A1184">
        <w:rPr>
          <w:rFonts w:ascii="Palatino Linotype" w:hAnsi="Palatino Linotype"/>
          <w:b/>
          <w:sz w:val="22"/>
          <w:szCs w:val="22"/>
        </w:rPr>
        <w:t>R=</w:t>
      </w:r>
      <w:r w:rsidRPr="005A1184">
        <w:rPr>
          <w:rFonts w:ascii="Palatino Linotype" w:hAnsi="Palatino Linotype"/>
          <w:sz w:val="22"/>
          <w:szCs w:val="22"/>
        </w:rPr>
        <w:t xml:space="preserve"> De acuerdo con los datos proporcionados en el Oficio No. DEAP/106/2016, signado por el Director Ejecutivo de Administración y Prerrogativas de este Instituto</w:t>
      </w:r>
      <w:r>
        <w:rPr>
          <w:rFonts w:ascii="Palatino Linotype" w:hAnsi="Palatino Linotype"/>
          <w:sz w:val="22"/>
          <w:szCs w:val="22"/>
        </w:rPr>
        <w:t xml:space="preserve"> Electoral, dicha información se clasificó</w:t>
      </w:r>
      <w:r w:rsidRPr="005A1184">
        <w:rPr>
          <w:rFonts w:ascii="Palatino Linotype" w:hAnsi="Palatino Linotype"/>
          <w:sz w:val="22"/>
          <w:szCs w:val="22"/>
        </w:rPr>
        <w:t xml:space="preserve"> como “pública”</w:t>
      </w:r>
      <w:r>
        <w:rPr>
          <w:rFonts w:ascii="Palatino Linotype" w:hAnsi="Palatino Linotype"/>
          <w:sz w:val="22"/>
          <w:szCs w:val="22"/>
        </w:rPr>
        <w:t>,</w:t>
      </w:r>
      <w:r w:rsidRPr="005A1184">
        <w:rPr>
          <w:rFonts w:ascii="Palatino Linotype" w:hAnsi="Palatino Linotype"/>
          <w:sz w:val="22"/>
          <w:szCs w:val="22"/>
        </w:rPr>
        <w:t xml:space="preserve"> </w:t>
      </w:r>
      <w:r>
        <w:rPr>
          <w:rFonts w:ascii="Palatino Linotype" w:hAnsi="Palatino Linotype"/>
          <w:sz w:val="22"/>
          <w:szCs w:val="22"/>
        </w:rPr>
        <w:t xml:space="preserve">resulta procedente permitir el acceso a la información </w:t>
      </w:r>
      <w:r w:rsidRPr="005A1184">
        <w:rPr>
          <w:rFonts w:ascii="Palatino Linotype" w:hAnsi="Palatino Linotype"/>
          <w:sz w:val="22"/>
          <w:szCs w:val="22"/>
        </w:rPr>
        <w:t xml:space="preserve">y </w:t>
      </w:r>
      <w:r>
        <w:rPr>
          <w:rFonts w:ascii="Palatino Linotype" w:hAnsi="Palatino Linotype"/>
          <w:sz w:val="22"/>
          <w:szCs w:val="22"/>
        </w:rPr>
        <w:t>se le proporciona</w:t>
      </w:r>
      <w:r w:rsidRPr="005A1184">
        <w:rPr>
          <w:rFonts w:ascii="Palatino Linotype" w:hAnsi="Palatino Linotype"/>
          <w:sz w:val="22"/>
          <w:szCs w:val="22"/>
        </w:rPr>
        <w:t xml:space="preserve"> al interesado copia simpl</w:t>
      </w:r>
      <w:r>
        <w:rPr>
          <w:rFonts w:ascii="Palatino Linotype" w:hAnsi="Palatino Linotype"/>
          <w:sz w:val="22"/>
          <w:szCs w:val="22"/>
        </w:rPr>
        <w:t>e de la versión pública de las t</w:t>
      </w:r>
      <w:r w:rsidRPr="005A1184">
        <w:rPr>
          <w:rFonts w:ascii="Palatino Linotype" w:hAnsi="Palatino Linotype"/>
          <w:sz w:val="22"/>
          <w:szCs w:val="22"/>
        </w:rPr>
        <w:t>ransferencias por el 50% de antic</w:t>
      </w:r>
      <w:r>
        <w:rPr>
          <w:rFonts w:ascii="Palatino Linotype" w:hAnsi="Palatino Linotype"/>
          <w:sz w:val="22"/>
          <w:szCs w:val="22"/>
        </w:rPr>
        <w:t xml:space="preserve">ipo y el saldo correspondiente </w:t>
      </w:r>
      <w:r w:rsidRPr="005A1184">
        <w:rPr>
          <w:rFonts w:ascii="Palatino Linotype" w:hAnsi="Palatino Linotype"/>
          <w:sz w:val="22"/>
          <w:szCs w:val="22"/>
        </w:rPr>
        <w:t xml:space="preserve">realizados a la empresa </w:t>
      </w:r>
      <w:r>
        <w:rPr>
          <w:rFonts w:ascii="Palatino Linotype" w:hAnsi="Palatino Linotype"/>
          <w:sz w:val="22"/>
          <w:szCs w:val="22"/>
        </w:rPr>
        <w:t>“</w:t>
      </w:r>
      <w:r w:rsidRPr="005A1184">
        <w:rPr>
          <w:rFonts w:ascii="Palatino Linotype" w:hAnsi="Palatino Linotype"/>
          <w:sz w:val="22"/>
          <w:szCs w:val="22"/>
        </w:rPr>
        <w:t>SMARTMATIC ELECCIONES MÉXICO S</w:t>
      </w:r>
      <w:r>
        <w:rPr>
          <w:rFonts w:ascii="Palatino Linotype" w:hAnsi="Palatino Linotype"/>
          <w:sz w:val="22"/>
          <w:szCs w:val="22"/>
        </w:rPr>
        <w:t>.</w:t>
      </w:r>
      <w:r w:rsidRPr="005A1184">
        <w:rPr>
          <w:rFonts w:ascii="Palatino Linotype" w:hAnsi="Palatino Linotype"/>
          <w:sz w:val="22"/>
          <w:szCs w:val="22"/>
        </w:rPr>
        <w:t>A</w:t>
      </w:r>
      <w:r>
        <w:rPr>
          <w:rFonts w:ascii="Palatino Linotype" w:hAnsi="Palatino Linotype"/>
          <w:sz w:val="22"/>
          <w:szCs w:val="22"/>
        </w:rPr>
        <w:t>.</w:t>
      </w:r>
      <w:r w:rsidRPr="005A1184">
        <w:rPr>
          <w:rFonts w:ascii="Palatino Linotype" w:hAnsi="Palatino Linotype"/>
          <w:sz w:val="22"/>
          <w:szCs w:val="22"/>
        </w:rPr>
        <w:t xml:space="preserve"> DE C</w:t>
      </w:r>
      <w:r>
        <w:rPr>
          <w:rFonts w:ascii="Palatino Linotype" w:hAnsi="Palatino Linotype"/>
          <w:sz w:val="22"/>
          <w:szCs w:val="22"/>
        </w:rPr>
        <w:t>.</w:t>
      </w:r>
      <w:r w:rsidRPr="005A1184">
        <w:rPr>
          <w:rFonts w:ascii="Palatino Linotype" w:hAnsi="Palatino Linotype"/>
          <w:sz w:val="22"/>
          <w:szCs w:val="22"/>
        </w:rPr>
        <w:t>V</w:t>
      </w:r>
      <w:r>
        <w:rPr>
          <w:rFonts w:ascii="Palatino Linotype" w:hAnsi="Palatino Linotype"/>
          <w:sz w:val="22"/>
          <w:szCs w:val="22"/>
        </w:rPr>
        <w:t>.”,</w:t>
      </w:r>
      <w:r w:rsidRPr="005A1184">
        <w:rPr>
          <w:rFonts w:ascii="Palatino Linotype" w:hAnsi="Palatino Linotype"/>
          <w:sz w:val="22"/>
          <w:szCs w:val="22"/>
        </w:rPr>
        <w:t xml:space="preserve"> así como copia simple de las facturas que avalan dichas transferencias</w:t>
      </w:r>
      <w:r>
        <w:rPr>
          <w:rFonts w:ascii="Palatino Linotype" w:hAnsi="Palatino Linotype"/>
          <w:sz w:val="22"/>
          <w:szCs w:val="22"/>
        </w:rPr>
        <w:t xml:space="preserve"> (constante de 4 fojas)</w:t>
      </w:r>
      <w:r w:rsidRPr="005A1184">
        <w:rPr>
          <w:rFonts w:ascii="Palatino Linotype" w:hAnsi="Palatino Linotype"/>
          <w:sz w:val="22"/>
          <w:szCs w:val="22"/>
        </w:rPr>
        <w:t>.</w:t>
      </w:r>
    </w:p>
    <w:p w:rsidR="00F71D34" w:rsidRPr="00F87166" w:rsidRDefault="00F71D34" w:rsidP="00F71D34">
      <w:pPr>
        <w:jc w:val="both"/>
        <w:rPr>
          <w:rFonts w:ascii="Palatino Linotype" w:hAnsi="Palatino Linotype"/>
          <w:sz w:val="22"/>
          <w:szCs w:val="22"/>
        </w:rPr>
      </w:pPr>
    </w:p>
    <w:p w:rsidR="00F71D34" w:rsidRPr="005A1184" w:rsidRDefault="00F71D34" w:rsidP="00F71D34">
      <w:pPr>
        <w:pStyle w:val="Prrafodelista"/>
        <w:numPr>
          <w:ilvl w:val="0"/>
          <w:numId w:val="2"/>
        </w:numPr>
        <w:spacing w:after="200" w:line="276" w:lineRule="auto"/>
        <w:jc w:val="both"/>
        <w:rPr>
          <w:rFonts w:ascii="Palatino Linotype" w:hAnsi="Palatino Linotype"/>
          <w:b/>
          <w:sz w:val="22"/>
          <w:szCs w:val="22"/>
        </w:rPr>
      </w:pPr>
      <w:r>
        <w:rPr>
          <w:rFonts w:ascii="Palatino Linotype" w:hAnsi="Palatino Linotype"/>
          <w:b/>
          <w:sz w:val="22"/>
          <w:szCs w:val="22"/>
        </w:rPr>
        <w:t>¿Cuántas casillas fueron instaladas?</w:t>
      </w:r>
    </w:p>
    <w:p w:rsidR="00F71D34" w:rsidRDefault="00F71D34" w:rsidP="00F71D34">
      <w:pPr>
        <w:jc w:val="both"/>
        <w:rPr>
          <w:rFonts w:ascii="Palatino Linotype" w:hAnsi="Palatino Linotype"/>
          <w:i/>
          <w:sz w:val="22"/>
          <w:szCs w:val="22"/>
        </w:rPr>
      </w:pPr>
      <w:r w:rsidRPr="005A1184">
        <w:rPr>
          <w:rFonts w:ascii="Palatino Linotype" w:hAnsi="Palatino Linotype"/>
          <w:b/>
          <w:sz w:val="22"/>
          <w:szCs w:val="22"/>
        </w:rPr>
        <w:t>R=</w:t>
      </w:r>
      <w:r w:rsidRPr="005A1184">
        <w:rPr>
          <w:rFonts w:ascii="Palatino Linotype" w:hAnsi="Palatino Linotype"/>
          <w:sz w:val="22"/>
          <w:szCs w:val="22"/>
        </w:rPr>
        <w:t xml:space="preserve"> </w:t>
      </w:r>
      <w:r>
        <w:rPr>
          <w:rFonts w:ascii="Palatino Linotype" w:hAnsi="Palatino Linotype"/>
          <w:sz w:val="22"/>
          <w:szCs w:val="22"/>
        </w:rPr>
        <w:t>De acuerdo con el oficio DECE/113/2016 signado por la Directora Ejecutiva de Capacitación Electoral y Educación Cívica de este Instituto Electoral, respecto a la información correspondiente al Proceso Electoral Estatal Ordinario 2014-2015, la reforma constitucional otorgó facultades exclusivas al Instituto Nacional Electoral (INE) para los procesos federal y local, en materia de capacitación electoral, ubicación de casillas y designación de funcionarios de las mesas directivas entre otras, tal y como lo establece el artículo 41 fracción V, apartado B de la Constitución Política de los Estados Unidos Mexicanos.</w:t>
      </w:r>
    </w:p>
    <w:p w:rsidR="00F71D34" w:rsidRDefault="00F71D34" w:rsidP="00F71D34">
      <w:pPr>
        <w:jc w:val="both"/>
        <w:rPr>
          <w:rFonts w:ascii="Palatino Linotype" w:hAnsi="Palatino Linotype"/>
          <w:i/>
          <w:sz w:val="22"/>
          <w:szCs w:val="22"/>
        </w:rPr>
      </w:pPr>
    </w:p>
    <w:p w:rsidR="00F71D34" w:rsidRDefault="00F71D34" w:rsidP="00F71D34">
      <w:pPr>
        <w:jc w:val="both"/>
        <w:rPr>
          <w:rFonts w:ascii="Palatino Linotype" w:hAnsi="Palatino Linotype"/>
          <w:i/>
          <w:sz w:val="22"/>
          <w:szCs w:val="22"/>
        </w:rPr>
      </w:pPr>
      <w:r>
        <w:rPr>
          <w:rFonts w:ascii="Palatino Linotype" w:hAnsi="Palatino Linotype"/>
          <w:sz w:val="22"/>
          <w:szCs w:val="22"/>
        </w:rPr>
        <w:t>Por lo tanto, para el Proceso Electoral Estatal Ordinario 2014-2015 la elección fue concurrente con la federal del día 7 de junio de 2015 y la integración, ubicación y designación de los integrantes de las mesas directivas de casillas únicas, se realizó con base en las disposiciones de la Ley General de Instituciones y Procedimientos Electorales (LGIPE), que en su artículo 32 numeral 1, inciso a), fracciones I y IV; señala que: “</w:t>
      </w:r>
      <w:r>
        <w:rPr>
          <w:rFonts w:ascii="Palatino Linotype" w:hAnsi="Palatino Linotype"/>
          <w:i/>
          <w:sz w:val="22"/>
          <w:szCs w:val="22"/>
        </w:rPr>
        <w:t>El Instituto tendrá las siguientes atribuciones para los procesos electorales federales y locales: La capacitación electoral y la ubicación de las casillas y la designación de los funcionarios de sus mesas directivas”.</w:t>
      </w:r>
    </w:p>
    <w:p w:rsidR="00F71D34" w:rsidRDefault="00F71D34" w:rsidP="00F71D34">
      <w:pPr>
        <w:jc w:val="both"/>
        <w:rPr>
          <w:rFonts w:ascii="Palatino Linotype" w:hAnsi="Palatino Linotype"/>
          <w:i/>
          <w:sz w:val="22"/>
          <w:szCs w:val="22"/>
        </w:rPr>
      </w:pPr>
    </w:p>
    <w:p w:rsidR="00F71D34" w:rsidRDefault="00F71D34" w:rsidP="00F71D34">
      <w:pPr>
        <w:jc w:val="both"/>
        <w:rPr>
          <w:rFonts w:ascii="Palatino Linotype" w:hAnsi="Palatino Linotype"/>
          <w:sz w:val="22"/>
          <w:szCs w:val="22"/>
        </w:rPr>
      </w:pPr>
      <w:r>
        <w:rPr>
          <w:rFonts w:ascii="Palatino Linotype" w:hAnsi="Palatino Linotype"/>
          <w:sz w:val="22"/>
          <w:szCs w:val="22"/>
        </w:rPr>
        <w:t xml:space="preserve">De igual manera, en el Convenio General de Coordinación firmado entre el Instituto Nacional Electoral (INE) y el Instituto Electoral del Estado de Campeche (IEEC) el 18 de diciembre de 2014 con el fin de coordinar el desarrollo de las elecciones federales y locales en el Estado de Campeche, </w:t>
      </w:r>
      <w:r w:rsidRPr="00EA1268">
        <w:rPr>
          <w:rFonts w:ascii="Palatino Linotype" w:hAnsi="Palatino Linotype"/>
          <w:sz w:val="22"/>
          <w:szCs w:val="22"/>
        </w:rPr>
        <w:t>mismo que puede verificar desde el portal de internet de este Instituto Electoral desde el enlace que a continuación se le proporciona:</w:t>
      </w:r>
      <w:r>
        <w:rPr>
          <w:rFonts w:ascii="Palatino Linotype" w:hAnsi="Palatino Linotype"/>
          <w:sz w:val="22"/>
          <w:szCs w:val="22"/>
        </w:rPr>
        <w:t xml:space="preserve">  </w:t>
      </w:r>
      <w:hyperlink r:id="rId5" w:history="1">
        <w:r w:rsidRPr="006844B3">
          <w:rPr>
            <w:rStyle w:val="Hipervnculo"/>
            <w:rFonts w:ascii="Palatino Linotype" w:hAnsi="Palatino Linotype"/>
            <w:sz w:val="22"/>
            <w:szCs w:val="22"/>
          </w:rPr>
          <w:t>http://www.ieec.org.mx/transparencia/doctos/conven_ine_ieec_colaboracion_elecciones.pdf</w:t>
        </w:r>
      </w:hyperlink>
      <w:r>
        <w:rPr>
          <w:rFonts w:ascii="Palatino Linotype" w:hAnsi="Palatino Linotype"/>
          <w:sz w:val="22"/>
          <w:szCs w:val="22"/>
        </w:rPr>
        <w:t xml:space="preserve"> , en el Apartado A Casilla Única, fracción II, numeral 3 Integración de las mesas </w:t>
      </w:r>
      <w:r>
        <w:rPr>
          <w:rFonts w:ascii="Palatino Linotype" w:hAnsi="Palatino Linotype"/>
          <w:sz w:val="22"/>
          <w:szCs w:val="22"/>
        </w:rPr>
        <w:lastRenderedPageBreak/>
        <w:t>directivas de casilla, incisos a) y b) mencionan: “</w:t>
      </w:r>
      <w:r>
        <w:rPr>
          <w:rFonts w:ascii="Palatino Linotype" w:hAnsi="Palatino Linotype"/>
          <w:i/>
          <w:sz w:val="22"/>
          <w:szCs w:val="22"/>
        </w:rPr>
        <w:t xml:space="preserve">LAS PARTES” reconocen que los procedimientos correspondientes a la integración de mesas directivas de casillas se realizarán de conformidad con la estrategia de Capacitación y Asistencia Electoral aprobada por el Consejo General de “EL INE” y que las tareas de integración de las mesas directivas de casilla y la capacitación de sus funcionarios, son responsabilidad de “EL INE”, y serán desarrolladas por conducto de sus juntas y consejos distritales, y con el apoyo de los Supervisores Electorales y Capacitadores Asistentes Electorales. La información recabada por éstos, será entregada </w:t>
      </w:r>
      <w:r w:rsidRPr="00715A4A">
        <w:rPr>
          <w:rFonts w:ascii="Palatino Linotype" w:hAnsi="Palatino Linotype"/>
          <w:i/>
          <w:sz w:val="22"/>
          <w:szCs w:val="22"/>
        </w:rPr>
        <w:t xml:space="preserve">exclusivamente a los órganos competentes de “EL INE”, </w:t>
      </w:r>
      <w:r>
        <w:rPr>
          <w:rFonts w:ascii="Palatino Linotype" w:hAnsi="Palatino Linotype"/>
          <w:i/>
          <w:sz w:val="22"/>
          <w:szCs w:val="22"/>
        </w:rPr>
        <w:t xml:space="preserve">con el fin de ser clasificada y ordenada para su captura en el </w:t>
      </w:r>
      <w:proofErr w:type="spellStart"/>
      <w:r>
        <w:rPr>
          <w:rFonts w:ascii="Palatino Linotype" w:hAnsi="Palatino Linotype"/>
          <w:i/>
          <w:sz w:val="22"/>
          <w:szCs w:val="22"/>
        </w:rPr>
        <w:t>Multisistema</w:t>
      </w:r>
      <w:proofErr w:type="spellEnd"/>
      <w:r>
        <w:rPr>
          <w:rFonts w:ascii="Palatino Linotype" w:hAnsi="Palatino Linotype"/>
          <w:i/>
          <w:sz w:val="22"/>
          <w:szCs w:val="22"/>
        </w:rPr>
        <w:t xml:space="preserve"> ELEC2015, así como su posterior conservación para fines de archivo, quedando a disposición de “EL IEEC” para su consulta. </w:t>
      </w:r>
      <w:r>
        <w:rPr>
          <w:rFonts w:ascii="Palatino Linotype" w:hAnsi="Palatino Linotype"/>
          <w:sz w:val="22"/>
          <w:szCs w:val="22"/>
        </w:rPr>
        <w:t>De igual manera en el mismo Apartado A, fracción II, numeral 2 se detalla la información correspondiente a las casillas electorales del documento en cita.</w:t>
      </w:r>
    </w:p>
    <w:p w:rsidR="00F71D34" w:rsidRDefault="00F71D34" w:rsidP="00F71D34">
      <w:pPr>
        <w:jc w:val="both"/>
        <w:rPr>
          <w:rFonts w:ascii="Palatino Linotype" w:hAnsi="Palatino Linotype"/>
          <w:sz w:val="22"/>
          <w:szCs w:val="22"/>
        </w:rPr>
      </w:pPr>
    </w:p>
    <w:p w:rsidR="00F71D34" w:rsidRDefault="00F71D34" w:rsidP="00F71D34">
      <w:pPr>
        <w:pStyle w:val="Prrafodelista"/>
        <w:ind w:left="0"/>
        <w:jc w:val="both"/>
        <w:rPr>
          <w:rFonts w:ascii="Palatino Linotype" w:hAnsi="Palatino Linotype"/>
          <w:sz w:val="22"/>
          <w:szCs w:val="22"/>
        </w:rPr>
      </w:pPr>
      <w:r>
        <w:rPr>
          <w:rFonts w:ascii="Palatino Linotype" w:hAnsi="Palatino Linotype"/>
          <w:sz w:val="22"/>
          <w:szCs w:val="22"/>
        </w:rPr>
        <w:t xml:space="preserve">Por todo lo anterior, la Dirección Ejecutiva de Capacitación Electoral y Educación Cívica, no generó la información solicitada referente al </w:t>
      </w:r>
      <w:r>
        <w:rPr>
          <w:rFonts w:ascii="Palatino Linotype" w:hAnsi="Palatino Linotype"/>
          <w:i/>
          <w:sz w:val="22"/>
          <w:szCs w:val="22"/>
        </w:rPr>
        <w:t xml:space="preserve">Proceso Electoral Estatal Ordinario 2014-2015, </w:t>
      </w:r>
      <w:r>
        <w:rPr>
          <w:rFonts w:ascii="Palatino Linotype" w:hAnsi="Palatino Linotype"/>
          <w:sz w:val="22"/>
          <w:szCs w:val="22"/>
        </w:rPr>
        <w:t>pero de acuerdo al Convenio ya citado, dicha Dirección Ejecutiva tiene en posesión los informes que la autoridad competente notificó, de los cuales se extrae la información que a continuación se presenta:</w:t>
      </w:r>
    </w:p>
    <w:p w:rsidR="00F71D34" w:rsidRDefault="00F71D34" w:rsidP="00F71D34">
      <w:pPr>
        <w:pStyle w:val="Prrafodelista"/>
        <w:ind w:left="0"/>
        <w:jc w:val="both"/>
        <w:rPr>
          <w:rFonts w:ascii="Palatino Linotype" w:hAnsi="Palatino Linotype"/>
          <w:sz w:val="22"/>
          <w:szCs w:val="22"/>
        </w:rPr>
      </w:pPr>
    </w:p>
    <w:p w:rsidR="00F71D34" w:rsidRDefault="00F71D34" w:rsidP="00F71D34">
      <w:pPr>
        <w:pStyle w:val="Prrafodelista"/>
        <w:ind w:left="0"/>
        <w:jc w:val="both"/>
        <w:rPr>
          <w:rFonts w:ascii="Palatino Linotype" w:hAnsi="Palatino Linotype"/>
          <w:sz w:val="22"/>
          <w:szCs w:val="22"/>
        </w:rPr>
      </w:pPr>
    </w:p>
    <w:tbl>
      <w:tblPr>
        <w:tblStyle w:val="Tablaconcuadrcula"/>
        <w:tblW w:w="0" w:type="auto"/>
        <w:tblInd w:w="2376" w:type="dxa"/>
        <w:tblLook w:val="04A0"/>
      </w:tblPr>
      <w:tblGrid>
        <w:gridCol w:w="2396"/>
        <w:gridCol w:w="2282"/>
      </w:tblGrid>
      <w:tr w:rsidR="00F71D34" w:rsidTr="00836728">
        <w:tc>
          <w:tcPr>
            <w:tcW w:w="2396" w:type="dxa"/>
          </w:tcPr>
          <w:p w:rsidR="00F71D34" w:rsidRPr="00081892" w:rsidRDefault="00F71D34" w:rsidP="00836728">
            <w:pPr>
              <w:pStyle w:val="Prrafodelista"/>
              <w:ind w:left="0"/>
              <w:jc w:val="center"/>
              <w:rPr>
                <w:rFonts w:ascii="Palatino Linotype" w:hAnsi="Palatino Linotype"/>
                <w:b/>
              </w:rPr>
            </w:pPr>
            <w:r>
              <w:rPr>
                <w:rFonts w:ascii="Palatino Linotype" w:hAnsi="Palatino Linotype"/>
                <w:b/>
              </w:rPr>
              <w:t>DISTRITO</w:t>
            </w:r>
          </w:p>
        </w:tc>
        <w:tc>
          <w:tcPr>
            <w:tcW w:w="2282" w:type="dxa"/>
          </w:tcPr>
          <w:p w:rsidR="00F71D34" w:rsidRPr="00081892" w:rsidRDefault="00F71D34" w:rsidP="00836728">
            <w:pPr>
              <w:pStyle w:val="Prrafodelista"/>
              <w:ind w:left="0"/>
              <w:jc w:val="center"/>
              <w:rPr>
                <w:rFonts w:ascii="Palatino Linotype" w:hAnsi="Palatino Linotype"/>
                <w:b/>
              </w:rPr>
            </w:pPr>
            <w:r>
              <w:rPr>
                <w:rFonts w:ascii="Palatino Linotype" w:hAnsi="Palatino Linotype"/>
                <w:b/>
              </w:rPr>
              <w:t>No. DE CASILLAS</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54</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II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46</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III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47</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IV</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50</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V</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52</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VI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59</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VII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55</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VIII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53</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IX</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50</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40</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35</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XII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64</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XIII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56</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XIV</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56</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XV</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52</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XVI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60</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XVII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56</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XVIII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50</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XIX</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56</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XX</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57</w:t>
            </w:r>
          </w:p>
        </w:tc>
      </w:tr>
      <w:tr w:rsidR="00F71D34" w:rsidTr="00836728">
        <w:tc>
          <w:tcPr>
            <w:tcW w:w="2396" w:type="dxa"/>
          </w:tcPr>
          <w:p w:rsidR="00F71D34" w:rsidRDefault="00F71D34" w:rsidP="00836728">
            <w:pPr>
              <w:pStyle w:val="Prrafodelista"/>
              <w:ind w:left="0"/>
              <w:jc w:val="center"/>
              <w:rPr>
                <w:rFonts w:ascii="Palatino Linotype" w:hAnsi="Palatino Linotype"/>
              </w:rPr>
            </w:pPr>
            <w:r>
              <w:rPr>
                <w:rFonts w:ascii="Palatino Linotype" w:hAnsi="Palatino Linotype"/>
              </w:rPr>
              <w:t>XXI</w:t>
            </w:r>
          </w:p>
        </w:tc>
        <w:tc>
          <w:tcPr>
            <w:tcW w:w="2282" w:type="dxa"/>
          </w:tcPr>
          <w:p w:rsidR="00F71D34" w:rsidRDefault="00F71D34" w:rsidP="00836728">
            <w:pPr>
              <w:pStyle w:val="Prrafodelista"/>
              <w:ind w:left="0"/>
              <w:jc w:val="center"/>
              <w:rPr>
                <w:rFonts w:ascii="Palatino Linotype" w:hAnsi="Palatino Linotype"/>
              </w:rPr>
            </w:pPr>
            <w:r>
              <w:rPr>
                <w:rFonts w:ascii="Palatino Linotype" w:hAnsi="Palatino Linotype"/>
              </w:rPr>
              <w:t>52</w:t>
            </w:r>
          </w:p>
        </w:tc>
      </w:tr>
      <w:tr w:rsidR="00F71D34" w:rsidTr="00836728">
        <w:tc>
          <w:tcPr>
            <w:tcW w:w="2396" w:type="dxa"/>
          </w:tcPr>
          <w:p w:rsidR="00F71D34" w:rsidRPr="009C5319" w:rsidRDefault="00F71D34" w:rsidP="00836728">
            <w:pPr>
              <w:pStyle w:val="Prrafodelista"/>
              <w:ind w:left="0"/>
              <w:jc w:val="center"/>
              <w:rPr>
                <w:rFonts w:ascii="Palatino Linotype" w:hAnsi="Palatino Linotype"/>
                <w:b/>
              </w:rPr>
            </w:pPr>
            <w:r w:rsidRPr="009C5319">
              <w:rPr>
                <w:rFonts w:ascii="Palatino Linotype" w:hAnsi="Palatino Linotype"/>
                <w:b/>
              </w:rPr>
              <w:t>TOTAL:</w:t>
            </w:r>
          </w:p>
        </w:tc>
        <w:tc>
          <w:tcPr>
            <w:tcW w:w="2282" w:type="dxa"/>
          </w:tcPr>
          <w:p w:rsidR="00F71D34" w:rsidRPr="009C5319" w:rsidRDefault="00F71D34" w:rsidP="00836728">
            <w:pPr>
              <w:pStyle w:val="Prrafodelista"/>
              <w:ind w:left="0"/>
              <w:jc w:val="center"/>
              <w:rPr>
                <w:rFonts w:ascii="Palatino Linotype" w:hAnsi="Palatino Linotype"/>
                <w:b/>
              </w:rPr>
            </w:pPr>
            <w:r>
              <w:rPr>
                <w:rFonts w:ascii="Palatino Linotype" w:hAnsi="Palatino Linotype"/>
                <w:b/>
              </w:rPr>
              <w:t>1,100</w:t>
            </w:r>
          </w:p>
        </w:tc>
      </w:tr>
    </w:tbl>
    <w:p w:rsidR="00F71D34" w:rsidRDefault="00F71D34" w:rsidP="00F71D34">
      <w:pPr>
        <w:pStyle w:val="Prrafodelista"/>
        <w:ind w:left="0"/>
        <w:jc w:val="both"/>
        <w:rPr>
          <w:rFonts w:ascii="Palatino Linotype" w:hAnsi="Palatino Linotype"/>
          <w:sz w:val="22"/>
          <w:szCs w:val="22"/>
        </w:rPr>
      </w:pPr>
    </w:p>
    <w:p w:rsidR="00F71D34" w:rsidRPr="005A1184" w:rsidRDefault="00F71D34" w:rsidP="00F71D34">
      <w:pPr>
        <w:jc w:val="both"/>
        <w:rPr>
          <w:rFonts w:ascii="Palatino Linotype" w:hAnsi="Palatino Linotype"/>
          <w:sz w:val="22"/>
          <w:szCs w:val="22"/>
        </w:rPr>
      </w:pPr>
      <w:r w:rsidRPr="00340E86">
        <w:rPr>
          <w:rFonts w:ascii="Palatino Linotype" w:hAnsi="Palatino Linotype"/>
          <w:sz w:val="22"/>
          <w:szCs w:val="22"/>
        </w:rPr>
        <w:t xml:space="preserve">De esta manera se proporciona </w:t>
      </w:r>
      <w:r>
        <w:rPr>
          <w:rFonts w:ascii="Palatino Linotype" w:hAnsi="Palatino Linotype"/>
          <w:sz w:val="22"/>
          <w:szCs w:val="22"/>
        </w:rPr>
        <w:t>al</w:t>
      </w:r>
      <w:r w:rsidRPr="00340E86">
        <w:rPr>
          <w:rFonts w:ascii="Palatino Linotype" w:hAnsi="Palatino Linotype"/>
          <w:sz w:val="22"/>
          <w:szCs w:val="22"/>
        </w:rPr>
        <w:t xml:space="preserve"> usuari</w:t>
      </w:r>
      <w:r>
        <w:rPr>
          <w:rFonts w:ascii="Palatino Linotype" w:hAnsi="Palatino Linotype"/>
          <w:sz w:val="22"/>
          <w:szCs w:val="22"/>
        </w:rPr>
        <w:t>o</w:t>
      </w:r>
      <w:r w:rsidRPr="00340E86">
        <w:rPr>
          <w:rFonts w:ascii="Palatino Linotype" w:hAnsi="Palatino Linotype"/>
          <w:sz w:val="22"/>
          <w:szCs w:val="22"/>
        </w:rPr>
        <w:t xml:space="preserve"> la información que solicitó</w:t>
      </w:r>
      <w:r>
        <w:rPr>
          <w:rFonts w:ascii="Palatino Linotype" w:hAnsi="Palatino Linotype"/>
          <w:sz w:val="22"/>
          <w:szCs w:val="22"/>
        </w:rPr>
        <w:t xml:space="preserve"> en las preguntas marcadas con los números 1, 2, 3, 4, 5, 6, y 7 en su solicitud de cuenta</w:t>
      </w:r>
      <w:r w:rsidRPr="00340E86">
        <w:rPr>
          <w:rFonts w:ascii="Palatino Linotype" w:hAnsi="Palatino Linotype"/>
          <w:sz w:val="22"/>
          <w:szCs w:val="22"/>
        </w:rPr>
        <w:t>, en la forma y como se mantiene en los archivos públicos de este Instituto Electoral del Estado de Campeche, con fun</w:t>
      </w:r>
      <w:r>
        <w:rPr>
          <w:rFonts w:ascii="Palatino Linotype" w:hAnsi="Palatino Linotype"/>
          <w:sz w:val="22"/>
          <w:szCs w:val="22"/>
        </w:rPr>
        <w:t xml:space="preserve">damento en el artículo 133 párrafo primero </w:t>
      </w:r>
      <w:r w:rsidRPr="00340E86">
        <w:rPr>
          <w:rFonts w:ascii="Palatino Linotype" w:hAnsi="Palatino Linotype"/>
          <w:sz w:val="22"/>
          <w:szCs w:val="22"/>
        </w:rPr>
        <w:t xml:space="preserve">de la Ley de Transparencia y Acceso a la Información Pública del Estado de Campeche, que a la letra dice: </w:t>
      </w:r>
      <w:r w:rsidRPr="005A1184">
        <w:rPr>
          <w:rFonts w:ascii="Palatino Linotype" w:hAnsi="Palatino Linotype"/>
          <w:i/>
          <w:sz w:val="22"/>
          <w:szCs w:val="22"/>
        </w:rPr>
        <w:t>“Los sujetos obligados deberán otorgar acceso a los documentos que se encuentren en sus archivos o que estén obligados a documentar de acuerdo con sus facultades, competencias o funciones en el formato en que el solicitante manifieste, de entre aquéllos formatos existentes, conforme a las características físicas de la información o del lugar donde se encuentre así lo permita.”</w:t>
      </w:r>
    </w:p>
    <w:p w:rsidR="00F71D34" w:rsidRPr="005A1184" w:rsidRDefault="00F71D34" w:rsidP="00F71D34">
      <w:pPr>
        <w:jc w:val="both"/>
        <w:rPr>
          <w:rFonts w:ascii="Palatino Linotype" w:hAnsi="Palatino Linotype"/>
          <w:sz w:val="22"/>
          <w:szCs w:val="22"/>
        </w:rPr>
      </w:pPr>
    </w:p>
    <w:p w:rsidR="00F71D34" w:rsidRDefault="00F71D34" w:rsidP="00F71D34">
      <w:pPr>
        <w:autoSpaceDE w:val="0"/>
        <w:autoSpaceDN w:val="0"/>
        <w:adjustRightInd w:val="0"/>
        <w:jc w:val="both"/>
        <w:rPr>
          <w:rFonts w:ascii="Palatino Linotype" w:hAnsi="Palatino Linotype"/>
          <w:sz w:val="22"/>
          <w:szCs w:val="22"/>
        </w:rPr>
      </w:pPr>
      <w:r w:rsidRPr="005A1184">
        <w:rPr>
          <w:rFonts w:ascii="Palatino Linotype" w:hAnsi="Palatino Linotype"/>
          <w:b/>
          <w:sz w:val="22"/>
          <w:szCs w:val="22"/>
        </w:rPr>
        <w:t>V</w:t>
      </w:r>
      <w:r w:rsidRPr="005A1184">
        <w:rPr>
          <w:rFonts w:ascii="Palatino Linotype" w:hAnsi="Palatino Linotype"/>
          <w:sz w:val="22"/>
          <w:szCs w:val="22"/>
        </w:rPr>
        <w:t xml:space="preserve">.- </w:t>
      </w:r>
      <w:r>
        <w:rPr>
          <w:rFonts w:ascii="Palatino Linotype" w:hAnsi="Palatino Linotype"/>
          <w:sz w:val="22"/>
          <w:szCs w:val="22"/>
        </w:rPr>
        <w:t xml:space="preserve">Derivado de la información proporcionada y descrita en la Consideración IV de esta resolución, resulta procedente proporcionar al interesado en total: copias simples de los documentos que solicita los cuales constan en 51 fojas, de las cuales 3 fojas son versiones públicas, en virtud de que </w:t>
      </w:r>
      <w:r w:rsidRPr="009D2B59">
        <w:rPr>
          <w:rFonts w:ascii="Palatino Linotype" w:hAnsi="Palatino Linotype"/>
          <w:sz w:val="22"/>
          <w:szCs w:val="22"/>
        </w:rPr>
        <w:t xml:space="preserve">presentan </w:t>
      </w:r>
      <w:r>
        <w:rPr>
          <w:rFonts w:ascii="Palatino Linotype" w:hAnsi="Palatino Linotype"/>
          <w:sz w:val="22"/>
          <w:szCs w:val="22"/>
        </w:rPr>
        <w:t>datos de carácter Confidencial</w:t>
      </w:r>
      <w:r w:rsidRPr="009D2B59">
        <w:rPr>
          <w:rFonts w:ascii="Palatino Linotype" w:hAnsi="Palatino Linotype"/>
          <w:sz w:val="22"/>
          <w:szCs w:val="22"/>
        </w:rPr>
        <w:t xml:space="preserve"> </w:t>
      </w:r>
      <w:r>
        <w:rPr>
          <w:rFonts w:ascii="Palatino Linotype" w:hAnsi="Palatino Linotype"/>
          <w:sz w:val="22"/>
          <w:szCs w:val="22"/>
        </w:rPr>
        <w:t xml:space="preserve">así como </w:t>
      </w:r>
      <w:r w:rsidRPr="009D2B59">
        <w:rPr>
          <w:rFonts w:ascii="Palatino Linotype" w:hAnsi="Palatino Linotype"/>
          <w:sz w:val="22"/>
          <w:szCs w:val="22"/>
        </w:rPr>
        <w:t>Datos Personales</w:t>
      </w:r>
      <w:r>
        <w:rPr>
          <w:rFonts w:ascii="Palatino Linotype" w:hAnsi="Palatino Linotype"/>
          <w:sz w:val="22"/>
          <w:szCs w:val="22"/>
        </w:rPr>
        <w:t xml:space="preserve">, </w:t>
      </w:r>
      <w:r w:rsidRPr="009D2B59">
        <w:rPr>
          <w:rFonts w:ascii="Palatino Linotype" w:hAnsi="Palatino Linotype"/>
          <w:sz w:val="22"/>
          <w:szCs w:val="22"/>
        </w:rPr>
        <w:t xml:space="preserve">resguardados por la Ley de Transparencia y Acceso a la Información Pública del Estado de Campeche en </w:t>
      </w:r>
      <w:r>
        <w:rPr>
          <w:rFonts w:ascii="Palatino Linotype" w:hAnsi="Palatino Linotype"/>
          <w:sz w:val="22"/>
          <w:szCs w:val="22"/>
        </w:rPr>
        <w:t xml:space="preserve">su Capítulo III.- De la información confidencial, </w:t>
      </w:r>
      <w:r w:rsidRPr="009D2B59">
        <w:rPr>
          <w:rFonts w:ascii="Palatino Linotype" w:hAnsi="Palatino Linotype"/>
          <w:sz w:val="22"/>
          <w:szCs w:val="22"/>
        </w:rPr>
        <w:t xml:space="preserve">artículos </w:t>
      </w:r>
      <w:r>
        <w:rPr>
          <w:rFonts w:ascii="Palatino Linotype" w:hAnsi="Palatino Linotype"/>
          <w:sz w:val="22"/>
          <w:szCs w:val="22"/>
        </w:rPr>
        <w:t>118 y 119</w:t>
      </w:r>
      <w:r w:rsidRPr="009D2B59">
        <w:rPr>
          <w:rFonts w:ascii="Palatino Linotype" w:hAnsi="Palatino Linotype"/>
          <w:sz w:val="22"/>
          <w:szCs w:val="22"/>
        </w:rPr>
        <w:t xml:space="preserve"> </w:t>
      </w:r>
      <w:r>
        <w:rPr>
          <w:rFonts w:ascii="Palatino Linotype" w:hAnsi="Palatino Linotype"/>
          <w:sz w:val="22"/>
          <w:szCs w:val="22"/>
        </w:rPr>
        <w:t>respectivamente, así como en el artículo 3° fracción VI de la Ley de Protección de Datos Personales y numeral XIV de los Lineamientos para la Protección de Datos Personales.</w:t>
      </w:r>
    </w:p>
    <w:p w:rsidR="00F71D34" w:rsidRDefault="00F71D34" w:rsidP="00F71D34">
      <w:pPr>
        <w:autoSpaceDE w:val="0"/>
        <w:autoSpaceDN w:val="0"/>
        <w:adjustRightInd w:val="0"/>
        <w:jc w:val="both"/>
        <w:rPr>
          <w:rFonts w:ascii="Palatino Linotype" w:hAnsi="Palatino Linotype"/>
          <w:sz w:val="22"/>
          <w:szCs w:val="22"/>
        </w:rPr>
      </w:pPr>
    </w:p>
    <w:p w:rsidR="00F71D34" w:rsidRPr="005A1184" w:rsidRDefault="00F71D34" w:rsidP="00F71D34">
      <w:pPr>
        <w:jc w:val="both"/>
        <w:rPr>
          <w:rFonts w:ascii="Palatino Linotype" w:hAnsi="Palatino Linotype"/>
          <w:sz w:val="22"/>
          <w:szCs w:val="22"/>
        </w:rPr>
      </w:pPr>
      <w:r w:rsidRPr="00DB780E">
        <w:rPr>
          <w:rFonts w:ascii="Palatino Linotype" w:hAnsi="Palatino Linotype"/>
          <w:sz w:val="22"/>
          <w:szCs w:val="22"/>
        </w:rPr>
        <w:t xml:space="preserve">Estos documentos, </w:t>
      </w:r>
      <w:r>
        <w:rPr>
          <w:rFonts w:ascii="Palatino Linotype" w:hAnsi="Palatino Linotype"/>
          <w:sz w:val="22"/>
          <w:szCs w:val="22"/>
        </w:rPr>
        <w:t>se mantienen</w:t>
      </w:r>
      <w:r w:rsidRPr="009D2B59">
        <w:rPr>
          <w:rFonts w:ascii="Palatino Linotype" w:hAnsi="Palatino Linotype"/>
          <w:sz w:val="22"/>
          <w:szCs w:val="22"/>
        </w:rPr>
        <w:t xml:space="preserve"> en la Unidad de Transparencia </w:t>
      </w:r>
      <w:r>
        <w:rPr>
          <w:rFonts w:ascii="Palatino Linotype" w:hAnsi="Palatino Linotype"/>
          <w:sz w:val="22"/>
          <w:szCs w:val="22"/>
        </w:rPr>
        <w:t>del Instituto Electoral del Estado de Campeche</w:t>
      </w:r>
      <w:r w:rsidRPr="009D2B59">
        <w:rPr>
          <w:rFonts w:ascii="Palatino Linotype" w:hAnsi="Palatino Linotype"/>
          <w:sz w:val="22"/>
          <w:szCs w:val="22"/>
        </w:rPr>
        <w:t xml:space="preserve"> y se le proporciona</w:t>
      </w:r>
      <w:r>
        <w:rPr>
          <w:rFonts w:ascii="Palatino Linotype" w:hAnsi="Palatino Linotype"/>
          <w:sz w:val="22"/>
          <w:szCs w:val="22"/>
        </w:rPr>
        <w:t>n</w:t>
      </w:r>
      <w:r w:rsidRPr="009D2B59">
        <w:rPr>
          <w:rFonts w:ascii="Palatino Linotype" w:hAnsi="Palatino Linotype"/>
          <w:sz w:val="22"/>
          <w:szCs w:val="22"/>
        </w:rPr>
        <w:t xml:space="preserve"> al usuario en el estado que se encuentra</w:t>
      </w:r>
      <w:r>
        <w:rPr>
          <w:rFonts w:ascii="Palatino Linotype" w:hAnsi="Palatino Linotype"/>
          <w:sz w:val="22"/>
          <w:szCs w:val="22"/>
        </w:rPr>
        <w:t>n</w:t>
      </w:r>
      <w:r w:rsidRPr="009D2B59">
        <w:rPr>
          <w:rFonts w:ascii="Palatino Linotype" w:hAnsi="Palatino Linotype"/>
          <w:sz w:val="22"/>
          <w:szCs w:val="22"/>
        </w:rPr>
        <w:t xml:space="preserve"> y resguarda</w:t>
      </w:r>
      <w:r>
        <w:rPr>
          <w:rFonts w:ascii="Palatino Linotype" w:hAnsi="Palatino Linotype"/>
          <w:sz w:val="22"/>
          <w:szCs w:val="22"/>
        </w:rPr>
        <w:t>n</w:t>
      </w:r>
      <w:r w:rsidRPr="009D2B59">
        <w:rPr>
          <w:rFonts w:ascii="Palatino Linotype" w:hAnsi="Palatino Linotype"/>
          <w:sz w:val="22"/>
          <w:szCs w:val="22"/>
        </w:rPr>
        <w:t xml:space="preserve"> por este </w:t>
      </w:r>
      <w:r>
        <w:rPr>
          <w:rFonts w:ascii="Palatino Linotype" w:hAnsi="Palatino Linotype"/>
          <w:sz w:val="22"/>
          <w:szCs w:val="22"/>
        </w:rPr>
        <w:t>sujeto obligado</w:t>
      </w:r>
      <w:r w:rsidRPr="009D2B59">
        <w:rPr>
          <w:rFonts w:ascii="Palatino Linotype" w:hAnsi="Palatino Linotype"/>
          <w:sz w:val="22"/>
          <w:szCs w:val="22"/>
        </w:rPr>
        <w:t xml:space="preserve">, tal y como lo dispone </w:t>
      </w:r>
      <w:r>
        <w:rPr>
          <w:rFonts w:ascii="Palatino Linotype" w:hAnsi="Palatino Linotype"/>
          <w:sz w:val="22"/>
          <w:szCs w:val="22"/>
        </w:rPr>
        <w:t xml:space="preserve">el citado artículo 133 párrafo primero </w:t>
      </w:r>
      <w:r w:rsidRPr="00340E86">
        <w:rPr>
          <w:rFonts w:ascii="Palatino Linotype" w:hAnsi="Palatino Linotype"/>
          <w:sz w:val="22"/>
          <w:szCs w:val="22"/>
        </w:rPr>
        <w:t>de la Ley de Transparencia y Acceso a la Información Pública del Estado de Campeche</w:t>
      </w:r>
      <w:r>
        <w:rPr>
          <w:rFonts w:ascii="Palatino Linotype" w:hAnsi="Palatino Linotype"/>
          <w:sz w:val="22"/>
          <w:szCs w:val="22"/>
        </w:rPr>
        <w:t>.</w:t>
      </w:r>
    </w:p>
    <w:p w:rsidR="00F71D34" w:rsidRDefault="00F71D34" w:rsidP="00F71D34">
      <w:pPr>
        <w:widowControl w:val="0"/>
        <w:overflowPunct w:val="0"/>
        <w:autoSpaceDE w:val="0"/>
        <w:autoSpaceDN w:val="0"/>
        <w:adjustRightInd w:val="0"/>
        <w:jc w:val="both"/>
        <w:rPr>
          <w:rFonts w:ascii="Palatino Linotype" w:hAnsi="Palatino Linotype"/>
          <w:sz w:val="22"/>
          <w:szCs w:val="22"/>
        </w:rPr>
      </w:pPr>
    </w:p>
    <w:p w:rsidR="00F71D34" w:rsidRPr="005A1184" w:rsidRDefault="00F71D34" w:rsidP="00F71D34">
      <w:pPr>
        <w:widowControl w:val="0"/>
        <w:overflowPunct w:val="0"/>
        <w:autoSpaceDE w:val="0"/>
        <w:autoSpaceDN w:val="0"/>
        <w:adjustRightInd w:val="0"/>
        <w:jc w:val="both"/>
        <w:rPr>
          <w:rFonts w:ascii="Palatino Linotype" w:hAnsi="Palatino Linotype"/>
          <w:sz w:val="22"/>
          <w:szCs w:val="22"/>
        </w:rPr>
      </w:pPr>
      <w:r>
        <w:rPr>
          <w:rFonts w:ascii="Palatino Linotype" w:hAnsi="Palatino Linotype"/>
          <w:sz w:val="22"/>
          <w:szCs w:val="22"/>
        </w:rPr>
        <w:t>De igual manera y conforme a lo dispuesto en el capítulo II “De las cuotas de acceso”, artículo 145 de la Ley de Transparencia y Acceso a la Información Pública del Estado de Campeche, el usurario deberá cubrir de manera previa a su entrega los costos para obtener la información que solicita, en virtud de que excede las veinte hojas simples que señala el precepto legal antes invocado.</w:t>
      </w:r>
    </w:p>
    <w:p w:rsidR="00F71D34" w:rsidRDefault="00F71D34" w:rsidP="00F71D34">
      <w:pPr>
        <w:widowControl w:val="0"/>
        <w:overflowPunct w:val="0"/>
        <w:autoSpaceDE w:val="0"/>
        <w:autoSpaceDN w:val="0"/>
        <w:adjustRightInd w:val="0"/>
        <w:jc w:val="both"/>
        <w:rPr>
          <w:rFonts w:ascii="Palatino Linotype" w:hAnsi="Palatino Linotype"/>
          <w:sz w:val="22"/>
          <w:szCs w:val="22"/>
        </w:rPr>
      </w:pPr>
    </w:p>
    <w:p w:rsidR="00F71D34" w:rsidRPr="00D9617E" w:rsidRDefault="00F71D34" w:rsidP="00F71D34">
      <w:pPr>
        <w:widowControl w:val="0"/>
        <w:overflowPunct w:val="0"/>
        <w:autoSpaceDE w:val="0"/>
        <w:autoSpaceDN w:val="0"/>
        <w:adjustRightInd w:val="0"/>
        <w:jc w:val="both"/>
        <w:rPr>
          <w:rFonts w:ascii="Palatino Linotype" w:hAnsi="Palatino Linotype"/>
          <w:sz w:val="22"/>
          <w:szCs w:val="22"/>
        </w:rPr>
      </w:pPr>
      <w:r w:rsidRPr="00D9617E">
        <w:rPr>
          <w:rFonts w:ascii="Palatino Linotype" w:hAnsi="Palatino Linotype"/>
          <w:sz w:val="22"/>
          <w:szCs w:val="22"/>
        </w:rPr>
        <w:t xml:space="preserve">Por lo que, previo pago de los derechos en la Secretaría de Finanzas del Gobierno del Estado de Campeche, conforme a las cuotas que en el artículo 59, fracciones I, II y III de la Ley de Hacienda del Estado de Campeche se establecen y que pueden ser consultadas en la página web del Gobierno del Estado de Campeche ubicada en </w:t>
      </w:r>
      <w:hyperlink r:id="rId6" w:history="1">
        <w:r w:rsidRPr="00A2054D">
          <w:rPr>
            <w:rStyle w:val="Hipervnculo"/>
            <w:rFonts w:ascii="Palatino Linotype" w:hAnsi="Palatino Linotype"/>
            <w:sz w:val="22"/>
            <w:szCs w:val="22"/>
          </w:rPr>
          <w:t>www.campeche.gob.mx</w:t>
        </w:r>
      </w:hyperlink>
      <w:r w:rsidRPr="00D9617E">
        <w:rPr>
          <w:rFonts w:ascii="Palatino Linotype" w:hAnsi="Palatino Linotype"/>
          <w:sz w:val="22"/>
          <w:szCs w:val="22"/>
        </w:rPr>
        <w:t>,</w:t>
      </w:r>
      <w:r>
        <w:rPr>
          <w:rFonts w:ascii="Palatino Linotype" w:hAnsi="Palatino Linotype"/>
          <w:sz w:val="22"/>
          <w:szCs w:val="22"/>
        </w:rPr>
        <w:t xml:space="preserve"> a</w:t>
      </w:r>
      <w:r w:rsidRPr="00D9617E">
        <w:rPr>
          <w:rFonts w:ascii="Palatino Linotype" w:hAnsi="Palatino Linotype"/>
          <w:sz w:val="22"/>
          <w:szCs w:val="22"/>
        </w:rPr>
        <w:t xml:space="preserve">partado denominado “Transparencia” con la siguiente ruta: Leyes </w:t>
      </w:r>
      <w:r>
        <w:rPr>
          <w:rFonts w:ascii="Palatino Linotype" w:hAnsi="Palatino Linotype"/>
          <w:sz w:val="22"/>
          <w:szCs w:val="22"/>
        </w:rPr>
        <w:t>en el</w:t>
      </w:r>
      <w:r w:rsidRPr="00D9617E">
        <w:rPr>
          <w:rFonts w:ascii="Palatino Linotype" w:hAnsi="Palatino Linotype"/>
          <w:sz w:val="22"/>
          <w:szCs w:val="22"/>
        </w:rPr>
        <w:t xml:space="preserve"> </w:t>
      </w:r>
      <w:proofErr w:type="spellStart"/>
      <w:r w:rsidRPr="00D9617E">
        <w:rPr>
          <w:rFonts w:ascii="Palatino Linotype" w:hAnsi="Palatino Linotype"/>
          <w:sz w:val="22"/>
          <w:szCs w:val="22"/>
        </w:rPr>
        <w:t>Norm@tecam</w:t>
      </w:r>
      <w:proofErr w:type="spellEnd"/>
      <w:r w:rsidRPr="00D9617E">
        <w:rPr>
          <w:rFonts w:ascii="Palatino Linotype" w:hAnsi="Palatino Linotype"/>
          <w:sz w:val="22"/>
          <w:szCs w:val="22"/>
        </w:rPr>
        <w:t xml:space="preserve"> - Leyes – “Ley de Hacienda del Estado de Campeche” y/o  consultando, también, el enlace directo a la Ley antes mencionada:</w:t>
      </w:r>
      <w:r w:rsidRPr="00567971">
        <w:t xml:space="preserve"> </w:t>
      </w:r>
      <w:hyperlink r:id="rId7" w:history="1">
        <w:r w:rsidRPr="008B6C9B">
          <w:rPr>
            <w:rStyle w:val="Hipervnculo"/>
            <w:rFonts w:ascii="Palatino Linotype" w:hAnsi="Palatino Linotype"/>
            <w:sz w:val="22"/>
            <w:szCs w:val="22"/>
          </w:rPr>
          <w:t>http://www.transparencia.campeche.gob.mx/index.php/es/component/flexicontent/217-leyes?Itemid=100</w:t>
        </w:r>
      </w:hyperlink>
      <w:r w:rsidRPr="00D9617E">
        <w:rPr>
          <w:rFonts w:ascii="Palatino Linotype" w:hAnsi="Palatino Linotype"/>
          <w:sz w:val="22"/>
          <w:szCs w:val="22"/>
        </w:rPr>
        <w:t>;</w:t>
      </w:r>
      <w:r>
        <w:rPr>
          <w:rFonts w:ascii="Palatino Linotype" w:hAnsi="Palatino Linotype"/>
          <w:sz w:val="22"/>
          <w:szCs w:val="22"/>
        </w:rPr>
        <w:t xml:space="preserve"> </w:t>
      </w:r>
      <w:r w:rsidRPr="00D9617E">
        <w:rPr>
          <w:rFonts w:ascii="Palatino Linotype" w:hAnsi="Palatino Linotype"/>
          <w:sz w:val="22"/>
          <w:szCs w:val="22"/>
        </w:rPr>
        <w:t>el pago de dichos derechos asciende a:</w:t>
      </w:r>
    </w:p>
    <w:p w:rsidR="00F71D34" w:rsidRPr="00D9617E" w:rsidRDefault="00F71D34" w:rsidP="00F71D34">
      <w:pPr>
        <w:widowControl w:val="0"/>
        <w:overflowPunct w:val="0"/>
        <w:autoSpaceDE w:val="0"/>
        <w:autoSpaceDN w:val="0"/>
        <w:adjustRightInd w:val="0"/>
        <w:jc w:val="both"/>
        <w:rPr>
          <w:rFonts w:ascii="Palatino Linotype" w:hAnsi="Palatino Linotype"/>
          <w:sz w:val="22"/>
          <w:szCs w:val="22"/>
        </w:rPr>
      </w:pPr>
    </w:p>
    <w:p w:rsidR="00F71D34" w:rsidRPr="003C185C" w:rsidRDefault="00F71D34" w:rsidP="00F71D34">
      <w:pPr>
        <w:jc w:val="both"/>
        <w:rPr>
          <w:rFonts w:ascii="Palatino Linotype" w:hAnsi="Palatino Linotype"/>
          <w:sz w:val="22"/>
          <w:szCs w:val="22"/>
        </w:rPr>
      </w:pPr>
      <w:r w:rsidRPr="00567971">
        <w:rPr>
          <w:rFonts w:ascii="Palatino Linotype" w:hAnsi="Palatino Linotype"/>
          <w:sz w:val="22"/>
          <w:szCs w:val="22"/>
        </w:rPr>
        <w:lastRenderedPageBreak/>
        <w:t>Salario mínimo vigente a la fecha (dato de la Comisión Nacional de Salarios Mínimos) X  0.0</w:t>
      </w:r>
      <w:r>
        <w:rPr>
          <w:rFonts w:ascii="Palatino Linotype" w:hAnsi="Palatino Linotype"/>
          <w:sz w:val="22"/>
          <w:szCs w:val="22"/>
        </w:rPr>
        <w:t>1</w:t>
      </w:r>
      <w:r w:rsidRPr="00567971">
        <w:rPr>
          <w:rFonts w:ascii="Palatino Linotype" w:hAnsi="Palatino Linotype"/>
          <w:sz w:val="22"/>
          <w:szCs w:val="22"/>
        </w:rPr>
        <w:t>7 (Costo de la expedición de copias simples, cada hoja) [(51 hojas)] = $ 73.04  X  0.0</w:t>
      </w:r>
      <w:r>
        <w:rPr>
          <w:rFonts w:ascii="Palatino Linotype" w:hAnsi="Palatino Linotype"/>
          <w:sz w:val="22"/>
          <w:szCs w:val="22"/>
        </w:rPr>
        <w:t>1</w:t>
      </w:r>
      <w:r w:rsidRPr="00567971">
        <w:rPr>
          <w:rFonts w:ascii="Palatino Linotype" w:hAnsi="Palatino Linotype"/>
          <w:sz w:val="22"/>
          <w:szCs w:val="22"/>
        </w:rPr>
        <w:t xml:space="preserve">7 = $ </w:t>
      </w:r>
      <w:r>
        <w:rPr>
          <w:rFonts w:ascii="Palatino Linotype" w:hAnsi="Palatino Linotype"/>
          <w:sz w:val="22"/>
          <w:szCs w:val="22"/>
        </w:rPr>
        <w:t>1.24</w:t>
      </w:r>
      <w:r w:rsidRPr="00567971">
        <w:rPr>
          <w:rFonts w:ascii="Palatino Linotype" w:hAnsi="Palatino Linotype"/>
          <w:sz w:val="22"/>
          <w:szCs w:val="22"/>
        </w:rPr>
        <w:t xml:space="preserve"> = </w:t>
      </w:r>
      <w:r>
        <w:rPr>
          <w:rFonts w:ascii="Palatino Linotype" w:hAnsi="Palatino Linotype"/>
          <w:sz w:val="22"/>
          <w:szCs w:val="22"/>
        </w:rPr>
        <w:t xml:space="preserve">     </w:t>
      </w:r>
      <w:r w:rsidRPr="00567971">
        <w:rPr>
          <w:rFonts w:ascii="Palatino Linotype" w:hAnsi="Palatino Linotype"/>
          <w:sz w:val="22"/>
          <w:szCs w:val="22"/>
        </w:rPr>
        <w:t xml:space="preserve">($ </w:t>
      </w:r>
      <w:r>
        <w:rPr>
          <w:rFonts w:ascii="Palatino Linotype" w:hAnsi="Palatino Linotype"/>
          <w:sz w:val="22"/>
          <w:szCs w:val="22"/>
        </w:rPr>
        <w:t>1.24</w:t>
      </w:r>
      <w:r w:rsidRPr="00567971">
        <w:rPr>
          <w:rFonts w:ascii="Palatino Linotype" w:hAnsi="Palatino Linotype"/>
          <w:sz w:val="22"/>
          <w:szCs w:val="22"/>
        </w:rPr>
        <w:t xml:space="preserve">) (51) = </w:t>
      </w:r>
      <w:r w:rsidRPr="00567971">
        <w:rPr>
          <w:rFonts w:ascii="Palatino Linotype" w:hAnsi="Palatino Linotype"/>
          <w:sz w:val="22"/>
          <w:szCs w:val="22"/>
          <w:u w:val="double"/>
        </w:rPr>
        <w:t xml:space="preserve">$ </w:t>
      </w:r>
      <w:r>
        <w:rPr>
          <w:rFonts w:ascii="Palatino Linotype" w:hAnsi="Palatino Linotype"/>
          <w:sz w:val="22"/>
          <w:szCs w:val="22"/>
          <w:u w:val="double"/>
        </w:rPr>
        <w:t>63.24</w:t>
      </w:r>
      <w:r w:rsidRPr="00567971">
        <w:rPr>
          <w:rFonts w:ascii="Palatino Linotype" w:hAnsi="Palatino Linotype"/>
          <w:sz w:val="22"/>
          <w:szCs w:val="22"/>
        </w:rPr>
        <w:t xml:space="preserve"> (Son: </w:t>
      </w:r>
      <w:r>
        <w:rPr>
          <w:rFonts w:ascii="Palatino Linotype" w:hAnsi="Palatino Linotype"/>
          <w:sz w:val="22"/>
          <w:szCs w:val="22"/>
        </w:rPr>
        <w:t>sesenta y tres</w:t>
      </w:r>
      <w:r w:rsidRPr="00567971">
        <w:rPr>
          <w:rFonts w:ascii="Palatino Linotype" w:hAnsi="Palatino Linotype"/>
          <w:sz w:val="22"/>
          <w:szCs w:val="22"/>
        </w:rPr>
        <w:t xml:space="preserve"> pesos </w:t>
      </w:r>
      <w:r>
        <w:rPr>
          <w:rFonts w:ascii="Palatino Linotype" w:hAnsi="Palatino Linotype"/>
          <w:sz w:val="22"/>
          <w:szCs w:val="22"/>
        </w:rPr>
        <w:t>24</w:t>
      </w:r>
      <w:r w:rsidRPr="00567971">
        <w:rPr>
          <w:rFonts w:ascii="Palatino Linotype" w:hAnsi="Palatino Linotype"/>
          <w:sz w:val="22"/>
          <w:szCs w:val="22"/>
        </w:rPr>
        <w:t>/100 M.N.)</w:t>
      </w:r>
    </w:p>
    <w:p w:rsidR="00F71D34" w:rsidRDefault="00F71D34" w:rsidP="00F71D34">
      <w:pPr>
        <w:jc w:val="center"/>
        <w:rPr>
          <w:rFonts w:ascii="Palatino Linotype" w:hAnsi="Palatino Linotype"/>
          <w:sz w:val="22"/>
          <w:szCs w:val="22"/>
        </w:rPr>
      </w:pPr>
    </w:p>
    <w:p w:rsidR="00F71D34" w:rsidRPr="00D8576F" w:rsidRDefault="00F71D34" w:rsidP="00F71D34">
      <w:pPr>
        <w:jc w:val="both"/>
        <w:rPr>
          <w:rFonts w:ascii="Palatino Linotype" w:hAnsi="Palatino Linotype"/>
          <w:i/>
          <w:sz w:val="22"/>
          <w:szCs w:val="22"/>
        </w:rPr>
      </w:pPr>
      <w:r>
        <w:rPr>
          <w:rFonts w:ascii="Palatino Linotype" w:hAnsi="Palatino Linotype"/>
          <w:sz w:val="22"/>
          <w:szCs w:val="22"/>
        </w:rPr>
        <w:t>Una vez realizado el pago de los derechos correspondientes y descritos en los párrafos anteriores, el solicitante puede apersonarse en las oficinas de la Unidad de Transparencia de este Instituto Electoral sita en: Avenida Fundadores No. 18 Área Ah-Kim-</w:t>
      </w:r>
      <w:proofErr w:type="spellStart"/>
      <w:r>
        <w:rPr>
          <w:rFonts w:ascii="Palatino Linotype" w:hAnsi="Palatino Linotype"/>
          <w:sz w:val="22"/>
          <w:szCs w:val="22"/>
        </w:rPr>
        <w:t>Pech</w:t>
      </w:r>
      <w:proofErr w:type="spellEnd"/>
      <w:r>
        <w:rPr>
          <w:rFonts w:ascii="Palatino Linotype" w:hAnsi="Palatino Linotype"/>
          <w:sz w:val="22"/>
          <w:szCs w:val="22"/>
        </w:rPr>
        <w:t>, C.P. 24014 en la ciudad de San Francisco de Campeche, Campeche, trayendo consigo el comprobante de dicho pago, para que le sea entregada la información personalmente. Lo anterior, con base en los artículos 138 y 139 de la Ley de Transparencia y Acceso a la Información Pública del Estado de Campeche.</w:t>
      </w:r>
    </w:p>
    <w:p w:rsidR="00F71D34" w:rsidRDefault="00F71D34" w:rsidP="00F71D34">
      <w:pPr>
        <w:jc w:val="both"/>
        <w:rPr>
          <w:rFonts w:ascii="Palatino Linotype" w:hAnsi="Palatino Linotype"/>
          <w:sz w:val="22"/>
          <w:szCs w:val="22"/>
        </w:rPr>
      </w:pPr>
    </w:p>
    <w:p w:rsidR="00F71D34" w:rsidRPr="00D9617E" w:rsidRDefault="00F71D34" w:rsidP="00F71D34">
      <w:pPr>
        <w:jc w:val="both"/>
        <w:rPr>
          <w:rFonts w:ascii="Palatino Linotype" w:hAnsi="Palatino Linotype"/>
          <w:sz w:val="22"/>
          <w:szCs w:val="22"/>
        </w:rPr>
      </w:pPr>
      <w:r w:rsidRPr="00D9617E">
        <w:rPr>
          <w:rFonts w:ascii="Palatino Linotype" w:hAnsi="Palatino Linotype"/>
          <w:sz w:val="22"/>
          <w:szCs w:val="22"/>
        </w:rPr>
        <w:t xml:space="preserve">En caso de que el solicitante requiera que se le envíe la información, es necesario informarle que las copias </w:t>
      </w:r>
      <w:r>
        <w:rPr>
          <w:rFonts w:ascii="Palatino Linotype" w:hAnsi="Palatino Linotype"/>
          <w:sz w:val="22"/>
          <w:szCs w:val="22"/>
        </w:rPr>
        <w:t>simples</w:t>
      </w:r>
      <w:r w:rsidRPr="00D9617E">
        <w:rPr>
          <w:rFonts w:ascii="Palatino Linotype" w:hAnsi="Palatino Linotype"/>
          <w:sz w:val="22"/>
          <w:szCs w:val="22"/>
        </w:rPr>
        <w:t xml:space="preserve"> que solicita le pueden ser enviadas, previo el pago de los derechos correspondientes, en la forma y términos ya indicados con anterioridad a través de las empresas de mensajería: Correos de México, DHL, Paquete Express, </w:t>
      </w:r>
      <w:proofErr w:type="spellStart"/>
      <w:r w:rsidRPr="00D9617E">
        <w:rPr>
          <w:rFonts w:ascii="Palatino Linotype" w:hAnsi="Palatino Linotype"/>
          <w:sz w:val="22"/>
          <w:szCs w:val="22"/>
        </w:rPr>
        <w:t>Multipack</w:t>
      </w:r>
      <w:proofErr w:type="spellEnd"/>
      <w:r w:rsidRPr="00D9617E">
        <w:rPr>
          <w:rFonts w:ascii="Palatino Linotype" w:hAnsi="Palatino Linotype"/>
          <w:sz w:val="22"/>
          <w:szCs w:val="22"/>
        </w:rPr>
        <w:t>, Estafeta y Estrella Blanca, para lo cual puede remitir a este Instituto la guía de envío correspondiente de cualesquiera de las empresas antes mencionadas que prestan sus servicios en esta Ciudad de San Francisco de Campeche, Campeche, la que será utilizada por este Departamento para enviar al interesado dicha documentación a la dirección domiciliaria que nos proporcione.</w:t>
      </w:r>
    </w:p>
    <w:p w:rsidR="00F71D34" w:rsidRDefault="00F71D34"/>
    <w:sectPr w:rsidR="00F71D34" w:rsidSect="006964C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3231E"/>
    <w:multiLevelType w:val="hybridMultilevel"/>
    <w:tmpl w:val="1986AF42"/>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7F71B5E"/>
    <w:multiLevelType w:val="hybridMultilevel"/>
    <w:tmpl w:val="79926B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1D34"/>
    <w:rsid w:val="006964CF"/>
    <w:rsid w:val="00F71D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D34"/>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71D34"/>
    <w:rPr>
      <w:color w:val="0000FF"/>
      <w:u w:val="single"/>
    </w:rPr>
  </w:style>
  <w:style w:type="paragraph" w:styleId="Prrafodelista">
    <w:name w:val="List Paragraph"/>
    <w:basedOn w:val="Normal"/>
    <w:uiPriority w:val="34"/>
    <w:qFormat/>
    <w:rsid w:val="00F71D34"/>
    <w:pPr>
      <w:ind w:left="720"/>
      <w:contextualSpacing/>
    </w:pPr>
  </w:style>
  <w:style w:type="table" w:styleId="Tablaconcuadrcula">
    <w:name w:val="Table Grid"/>
    <w:basedOn w:val="Tablanormal"/>
    <w:uiPriority w:val="59"/>
    <w:rsid w:val="00F71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ansparencia.campeche.gob.mx/index.php/es/component/flexicontent/217-leyes?Itemid=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eche.gob.mx" TargetMode="External"/><Relationship Id="rId5" Type="http://schemas.openxmlformats.org/officeDocument/2006/relationships/hyperlink" Target="http://www.ieec.org.mx/transparencia/doctos/conven_ine_ieec_colaboracion_eleccione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2285</Words>
  <Characters>12569</Characters>
  <Application>Microsoft Office Word</Application>
  <DocSecurity>0</DocSecurity>
  <Lines>104</Lines>
  <Paragraphs>29</Paragraphs>
  <ScaleCrop>false</ScaleCrop>
  <Company/>
  <LinksUpToDate>false</LinksUpToDate>
  <CharactersWithSpaces>14825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1</cp:revision>
  <dcterms:created xsi:type="dcterms:W3CDTF">2016-09-20T17:39:00Z</dcterms:created>
  <dcterms:modified xsi:type="dcterms:W3CDTF">2016-09-20T17:40:00Z</dcterms:modified>
</cp:coreProperties>
</file>